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CB445" w14:textId="6910289B" w:rsidR="00CB275A" w:rsidRPr="00CE0F52" w:rsidRDefault="0084658A" w:rsidP="00CB275A">
      <w:pPr>
        <w:pStyle w:val="NoSpacing"/>
        <w:jc w:val="center"/>
        <w:rPr>
          <w:b/>
          <w:sz w:val="44"/>
          <w:szCs w:val="36"/>
          <w:u w:val="single"/>
        </w:rPr>
      </w:pPr>
      <w:r>
        <w:rPr>
          <w:b/>
          <w:sz w:val="44"/>
          <w:szCs w:val="36"/>
          <w:u w:val="single"/>
        </w:rPr>
        <w:t>Solid</w:t>
      </w:r>
    </w:p>
    <w:p w14:paraId="6D2C9F3E" w14:textId="1EDE8066" w:rsidR="00CB275A" w:rsidRDefault="00CB275A" w:rsidP="00CB275A">
      <w:pPr>
        <w:pStyle w:val="NoSpacing"/>
      </w:pPr>
    </w:p>
    <w:p w14:paraId="58F08A04" w14:textId="64D344D5" w:rsidR="005A6D64" w:rsidRDefault="005A6D64" w:rsidP="00CB275A">
      <w:pPr>
        <w:pStyle w:val="NoSpacing"/>
      </w:pPr>
    </w:p>
    <w:p w14:paraId="18048FD9" w14:textId="6C139DDE" w:rsidR="00CC61F3" w:rsidRPr="00CC61F3" w:rsidRDefault="00CC61F3" w:rsidP="00CB275A">
      <w:pPr>
        <w:pStyle w:val="NoSpacing"/>
        <w:rPr>
          <w:b/>
          <w:sz w:val="28"/>
          <w:szCs w:val="28"/>
        </w:rPr>
      </w:pPr>
      <w:r w:rsidRPr="00CC61F3">
        <w:rPr>
          <w:b/>
          <w:sz w:val="28"/>
          <w:szCs w:val="28"/>
        </w:rPr>
        <w:t>Prologue</w:t>
      </w:r>
    </w:p>
    <w:p w14:paraId="63E6081B" w14:textId="77777777" w:rsidR="005617F5" w:rsidRDefault="005617F5" w:rsidP="005617F5">
      <w:pPr>
        <w:pStyle w:val="NoSpacing"/>
      </w:pPr>
      <w:r>
        <w:t xml:space="preserve">Now we want to investigate how we may determine the functional form of these potentials introduced previously.  We will consider for simplicity that our substance is homogeneous and obeys the scaling relations introduced in the previous lecture.  Then our potentials satisfy, </w:t>
      </w:r>
    </w:p>
    <w:p w14:paraId="0AD1D3F2" w14:textId="77777777" w:rsidR="005617F5" w:rsidRDefault="005617F5" w:rsidP="005617F5">
      <w:pPr>
        <w:pStyle w:val="NoSpacing"/>
      </w:pPr>
    </w:p>
    <w:p w14:paraId="2EBCA01D" w14:textId="77777777" w:rsidR="005617F5" w:rsidRDefault="002829EA" w:rsidP="005617F5">
      <w:pPr>
        <w:pStyle w:val="NoSpacing"/>
      </w:pPr>
      <w:r w:rsidRPr="002829EA">
        <w:rPr>
          <w:position w:val="-82"/>
        </w:rPr>
        <w:object w:dxaOrig="2340" w:dyaOrig="1760" w14:anchorId="4BD64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87pt" o:ole="">
            <v:imagedata r:id="rId4" o:title=""/>
          </v:shape>
          <o:OLEObject Type="Embed" ProgID="Equation.DSMT4" ShapeID="_x0000_i1025" DrawAspect="Content" ObjectID="_1783595623" r:id="rId5"/>
        </w:object>
      </w:r>
    </w:p>
    <w:p w14:paraId="15575107" w14:textId="77777777" w:rsidR="00F65C70" w:rsidRDefault="00F65C70" w:rsidP="005617F5">
      <w:pPr>
        <w:pStyle w:val="NoSpacing"/>
      </w:pPr>
    </w:p>
    <w:p w14:paraId="51CC40E0" w14:textId="21E922A9" w:rsidR="001C1795" w:rsidRDefault="001C1795" w:rsidP="005617F5">
      <w:pPr>
        <w:pStyle w:val="NoSpacing"/>
      </w:pPr>
      <w:r>
        <w:t>It will suffice, then, to determine the heat capacity C</w:t>
      </w:r>
      <w:r>
        <w:rPr>
          <w:vertAlign w:val="subscript"/>
        </w:rPr>
        <w:t>V</w:t>
      </w:r>
      <w:r>
        <w:t>(T,</w:t>
      </w:r>
      <w:r w:rsidRPr="001C1795">
        <w:rPr>
          <w:u w:val="single"/>
        </w:rPr>
        <w:t>V</w:t>
      </w:r>
      <w:r>
        <w:t>) and equation of state p(T,</w:t>
      </w:r>
      <w:r w:rsidRPr="001C1795">
        <w:rPr>
          <w:u w:val="single"/>
        </w:rPr>
        <w:t>V</w:t>
      </w:r>
      <w:r>
        <w:t>), to construct the potentials</w:t>
      </w:r>
      <w:r w:rsidR="00CC497B">
        <w:t xml:space="preserve"> [these basically give us S and p for the free energy F]</w:t>
      </w:r>
      <w:r>
        <w:t xml:space="preserve">.  For instance, forming the differential of </w:t>
      </w:r>
      <w:r w:rsidRPr="001C1795">
        <w:rPr>
          <w:u w:val="single"/>
        </w:rPr>
        <w:t>U</w:t>
      </w:r>
      <w:r>
        <w:t>(T,</w:t>
      </w:r>
      <w:r w:rsidRPr="001C1795">
        <w:rPr>
          <w:u w:val="single"/>
        </w:rPr>
        <w:t>V</w:t>
      </w:r>
      <w:r>
        <w:t>) we have:</w:t>
      </w:r>
    </w:p>
    <w:p w14:paraId="23E1A838" w14:textId="77777777" w:rsidR="001C1795" w:rsidRDefault="001C1795" w:rsidP="005617F5">
      <w:pPr>
        <w:pStyle w:val="NoSpacing"/>
      </w:pPr>
    </w:p>
    <w:p w14:paraId="22FF33D4" w14:textId="77777777" w:rsidR="001C1795" w:rsidRDefault="00A80063" w:rsidP="005617F5">
      <w:pPr>
        <w:pStyle w:val="NoSpacing"/>
      </w:pPr>
      <w:r w:rsidRPr="00A80063">
        <w:rPr>
          <w:position w:val="-32"/>
        </w:rPr>
        <w:object w:dxaOrig="3500" w:dyaOrig="740" w14:anchorId="76E66DFC">
          <v:shape id="_x0000_i1026" type="#_x0000_t75" style="width:177pt;height:36.5pt" o:ole="">
            <v:imagedata r:id="rId6" o:title=""/>
          </v:shape>
          <o:OLEObject Type="Embed" ProgID="Equation.DSMT4" ShapeID="_x0000_i1026" DrawAspect="Content" ObjectID="_1783595624" r:id="rId7"/>
        </w:object>
      </w:r>
    </w:p>
    <w:p w14:paraId="33740A6F" w14:textId="77777777" w:rsidR="00A80063" w:rsidRDefault="00A80063" w:rsidP="005617F5">
      <w:pPr>
        <w:pStyle w:val="NoSpacing"/>
      </w:pPr>
    </w:p>
    <w:p w14:paraId="05C10391" w14:textId="77777777" w:rsidR="00A80063" w:rsidRDefault="00A80063" w:rsidP="00A80063">
      <w:pPr>
        <w:pStyle w:val="NoSpacing"/>
      </w:pPr>
      <w:r>
        <w:t>What are these derivatives?  Well,</w:t>
      </w:r>
    </w:p>
    <w:p w14:paraId="58B290D7" w14:textId="77777777" w:rsidR="00A80063" w:rsidRDefault="00A80063" w:rsidP="00A80063">
      <w:pPr>
        <w:pStyle w:val="NoSpacing"/>
      </w:pPr>
    </w:p>
    <w:p w14:paraId="556B66AA" w14:textId="77777777" w:rsidR="00A80063" w:rsidRDefault="00A80063" w:rsidP="00A80063">
      <w:pPr>
        <w:pStyle w:val="NoSpacing"/>
      </w:pPr>
      <w:r w:rsidRPr="000276DF">
        <w:rPr>
          <w:position w:val="-32"/>
        </w:rPr>
        <w:object w:dxaOrig="4819" w:dyaOrig="720" w14:anchorId="01165DE1">
          <v:shape id="_x0000_i1027" type="#_x0000_t75" style="width:240pt;height:36pt" o:ole="">
            <v:imagedata r:id="rId8" o:title=""/>
          </v:shape>
          <o:OLEObject Type="Embed" ProgID="Equation.DSMT4" ShapeID="_x0000_i1027" DrawAspect="Content" ObjectID="_1783595625" r:id="rId9"/>
        </w:object>
      </w:r>
    </w:p>
    <w:p w14:paraId="144E6A71" w14:textId="77777777" w:rsidR="00A80063" w:rsidRDefault="00A80063" w:rsidP="00A80063">
      <w:pPr>
        <w:pStyle w:val="NoSpacing"/>
      </w:pPr>
    </w:p>
    <w:p w14:paraId="1F562CFF" w14:textId="77777777" w:rsidR="00A80063" w:rsidRDefault="00A80063" w:rsidP="00A80063">
      <w:pPr>
        <w:pStyle w:val="NoSpacing"/>
      </w:pPr>
      <w:r>
        <w:t>and,</w:t>
      </w:r>
    </w:p>
    <w:p w14:paraId="4808F21A" w14:textId="77777777" w:rsidR="00A80063" w:rsidRDefault="00A80063" w:rsidP="00A80063">
      <w:pPr>
        <w:pStyle w:val="NoSpacing"/>
      </w:pPr>
    </w:p>
    <w:p w14:paraId="1A3CA384" w14:textId="77777777" w:rsidR="00A80063" w:rsidRPr="00256330" w:rsidRDefault="00A80063" w:rsidP="00A80063">
      <w:pPr>
        <w:pStyle w:val="NoSpacing"/>
      </w:pPr>
      <w:r w:rsidRPr="00A80063">
        <w:rPr>
          <w:position w:val="-32"/>
        </w:rPr>
        <w:object w:dxaOrig="6880" w:dyaOrig="740" w14:anchorId="521C21A2">
          <v:shape id="_x0000_i1028" type="#_x0000_t75" style="width:343.5pt;height:36.5pt" o:ole="">
            <v:imagedata r:id="rId10" o:title=""/>
          </v:shape>
          <o:OLEObject Type="Embed" ProgID="Equation.DSMT4" ShapeID="_x0000_i1028" DrawAspect="Content" ObjectID="_1783595626" r:id="rId11"/>
        </w:object>
      </w:r>
    </w:p>
    <w:p w14:paraId="2359D127" w14:textId="77777777" w:rsidR="00A80063" w:rsidRPr="001C1795" w:rsidRDefault="00A80063" w:rsidP="005617F5">
      <w:pPr>
        <w:pStyle w:val="NoSpacing"/>
      </w:pPr>
    </w:p>
    <w:p w14:paraId="47B9829C" w14:textId="77777777" w:rsidR="001C1795" w:rsidRDefault="00A80063" w:rsidP="005617F5">
      <w:pPr>
        <w:pStyle w:val="NoSpacing"/>
      </w:pPr>
      <w:r>
        <w:t>So we have:</w:t>
      </w:r>
    </w:p>
    <w:p w14:paraId="32D4726A" w14:textId="77777777" w:rsidR="00A80063" w:rsidRDefault="00A80063" w:rsidP="005617F5">
      <w:pPr>
        <w:pStyle w:val="NoSpacing"/>
      </w:pPr>
    </w:p>
    <w:p w14:paraId="1B361AE3" w14:textId="77777777" w:rsidR="00A80063" w:rsidRDefault="00976DDA" w:rsidP="005617F5">
      <w:pPr>
        <w:pStyle w:val="NoSpacing"/>
      </w:pPr>
      <w:r w:rsidRPr="00A80063">
        <w:rPr>
          <w:position w:val="-28"/>
        </w:rPr>
        <w:object w:dxaOrig="2780" w:dyaOrig="680" w14:anchorId="1C4313BB">
          <v:shape id="_x0000_i1029" type="#_x0000_t75" style="width:138pt;height:35pt" o:ole="">
            <v:imagedata r:id="rId12" o:title=""/>
          </v:shape>
          <o:OLEObject Type="Embed" ProgID="Equation.DSMT4" ShapeID="_x0000_i1029" DrawAspect="Content" ObjectID="_1783595627" r:id="rId13"/>
        </w:object>
      </w:r>
    </w:p>
    <w:p w14:paraId="05B229CB" w14:textId="77777777" w:rsidR="002C2132" w:rsidRDefault="002C2132" w:rsidP="005617F5">
      <w:pPr>
        <w:pStyle w:val="NoSpacing"/>
      </w:pPr>
    </w:p>
    <w:p w14:paraId="1EFA147C" w14:textId="77777777" w:rsidR="002C2132" w:rsidRDefault="002C2132" w:rsidP="005617F5">
      <w:pPr>
        <w:pStyle w:val="NoSpacing"/>
      </w:pPr>
      <w:r>
        <w:t>A similar procedure for the entropy would yield:</w:t>
      </w:r>
    </w:p>
    <w:p w14:paraId="7AF09450" w14:textId="77777777" w:rsidR="002C2132" w:rsidRDefault="002C2132" w:rsidP="002C2132">
      <w:pPr>
        <w:pStyle w:val="NoSpacing"/>
      </w:pPr>
    </w:p>
    <w:p w14:paraId="7A76B4E6" w14:textId="77777777" w:rsidR="002C2132" w:rsidRDefault="002C2132" w:rsidP="002C2132">
      <w:pPr>
        <w:pStyle w:val="NoSpacing"/>
      </w:pPr>
      <w:r w:rsidRPr="009A6712">
        <w:rPr>
          <w:position w:val="-32"/>
        </w:rPr>
        <w:object w:dxaOrig="2799" w:dyaOrig="740" w14:anchorId="54589DA3">
          <v:shape id="_x0000_i1030" type="#_x0000_t75" style="width:138pt;height:36pt" o:ole="">
            <v:imagedata r:id="rId14" o:title=""/>
          </v:shape>
          <o:OLEObject Type="Embed" ProgID="Equation.DSMT4" ShapeID="_x0000_i1030" DrawAspect="Content" ObjectID="_1783595628" r:id="rId15"/>
        </w:object>
      </w:r>
    </w:p>
    <w:p w14:paraId="3706D4DD" w14:textId="77777777" w:rsidR="002C2132" w:rsidRDefault="002C2132" w:rsidP="002C2132">
      <w:pPr>
        <w:pStyle w:val="NoSpacing"/>
      </w:pPr>
    </w:p>
    <w:p w14:paraId="1C20FF20" w14:textId="77777777" w:rsidR="002C2132" w:rsidRDefault="002C2132" w:rsidP="002C2132">
      <w:pPr>
        <w:pStyle w:val="NoSpacing"/>
      </w:pPr>
      <w:r>
        <w:t>What are these derivatives?  Well,</w:t>
      </w:r>
    </w:p>
    <w:p w14:paraId="38E82420" w14:textId="77777777" w:rsidR="002C2132" w:rsidRDefault="002C2132" w:rsidP="002C2132">
      <w:pPr>
        <w:pStyle w:val="NoSpacing"/>
      </w:pPr>
    </w:p>
    <w:p w14:paraId="3CBEADA0" w14:textId="77777777" w:rsidR="002C2132" w:rsidRDefault="002C2132" w:rsidP="002C2132">
      <w:pPr>
        <w:pStyle w:val="NoSpacing"/>
      </w:pPr>
      <w:r w:rsidRPr="000276DF">
        <w:rPr>
          <w:position w:val="-32"/>
        </w:rPr>
        <w:object w:dxaOrig="2720" w:dyaOrig="720" w14:anchorId="66A45299">
          <v:shape id="_x0000_i1031" type="#_x0000_t75" style="width:135pt;height:36pt" o:ole="">
            <v:imagedata r:id="rId16" o:title=""/>
          </v:shape>
          <o:OLEObject Type="Embed" ProgID="Equation.DSMT4" ShapeID="_x0000_i1031" DrawAspect="Content" ObjectID="_1783595629" r:id="rId17"/>
        </w:object>
      </w:r>
    </w:p>
    <w:p w14:paraId="7A17B055" w14:textId="77777777" w:rsidR="002C2132" w:rsidRDefault="002C2132" w:rsidP="002C2132">
      <w:pPr>
        <w:pStyle w:val="NoSpacing"/>
      </w:pPr>
    </w:p>
    <w:p w14:paraId="79D4AB94" w14:textId="77777777" w:rsidR="002C2132" w:rsidRDefault="002C2132" w:rsidP="002C2132">
      <w:pPr>
        <w:pStyle w:val="NoSpacing"/>
      </w:pPr>
      <w:r>
        <w:t>and,</w:t>
      </w:r>
    </w:p>
    <w:p w14:paraId="6EC752F6" w14:textId="77777777" w:rsidR="002C2132" w:rsidRDefault="002C2132" w:rsidP="002C2132">
      <w:pPr>
        <w:pStyle w:val="NoSpacing"/>
      </w:pPr>
    </w:p>
    <w:p w14:paraId="6FC68D7E" w14:textId="77777777" w:rsidR="002C2132" w:rsidRDefault="002C2132" w:rsidP="002C2132">
      <w:pPr>
        <w:pStyle w:val="NoSpacing"/>
      </w:pPr>
      <w:r w:rsidRPr="000276DF">
        <w:rPr>
          <w:position w:val="-32"/>
        </w:rPr>
        <w:object w:dxaOrig="1660" w:dyaOrig="740" w14:anchorId="4901B65C">
          <v:shape id="_x0000_i1032" type="#_x0000_t75" style="width:83.5pt;height:36pt" o:ole="">
            <v:imagedata r:id="rId18" o:title=""/>
          </v:shape>
          <o:OLEObject Type="Embed" ProgID="Equation.DSMT4" ShapeID="_x0000_i1032" DrawAspect="Content" ObjectID="_1783595630" r:id="rId19"/>
        </w:object>
      </w:r>
    </w:p>
    <w:p w14:paraId="2F2F0ACB" w14:textId="77777777" w:rsidR="002C2132" w:rsidRDefault="002C2132" w:rsidP="002C2132">
      <w:pPr>
        <w:pStyle w:val="NoSpacing"/>
      </w:pPr>
    </w:p>
    <w:p w14:paraId="3ABDD681" w14:textId="77777777" w:rsidR="002C2132" w:rsidRDefault="002C2132" w:rsidP="002C2132">
      <w:pPr>
        <w:pStyle w:val="NoSpacing"/>
      </w:pPr>
      <w:r>
        <w:t>So we have:</w:t>
      </w:r>
    </w:p>
    <w:p w14:paraId="1FDAD4A7" w14:textId="77777777" w:rsidR="002C2132" w:rsidRDefault="002C2132" w:rsidP="002C2132">
      <w:pPr>
        <w:pStyle w:val="NoSpacing"/>
      </w:pPr>
    </w:p>
    <w:p w14:paraId="291CD094" w14:textId="77777777" w:rsidR="002C2132" w:rsidRDefault="002C2132" w:rsidP="005617F5">
      <w:pPr>
        <w:pStyle w:val="NoSpacing"/>
      </w:pPr>
      <w:r w:rsidRPr="002C2132">
        <w:rPr>
          <w:position w:val="-32"/>
        </w:rPr>
        <w:object w:dxaOrig="2420" w:dyaOrig="720" w14:anchorId="61BDCE26">
          <v:shape id="_x0000_i1033" type="#_x0000_t75" style="width:120.5pt;height:36pt" o:ole="">
            <v:imagedata r:id="rId20" o:title=""/>
          </v:shape>
          <o:OLEObject Type="Embed" ProgID="Equation.DSMT4" ShapeID="_x0000_i1033" DrawAspect="Content" ObjectID="_1783595631" r:id="rId21"/>
        </w:object>
      </w:r>
    </w:p>
    <w:p w14:paraId="517A834C" w14:textId="77777777" w:rsidR="00A80063" w:rsidRDefault="00A80063" w:rsidP="005617F5">
      <w:pPr>
        <w:pStyle w:val="NoSpacing"/>
      </w:pPr>
    </w:p>
    <w:p w14:paraId="640BEA07" w14:textId="5D09F5CF" w:rsidR="003D6083" w:rsidRDefault="003D6083" w:rsidP="005617F5">
      <w:pPr>
        <w:pStyle w:val="NoSpacing"/>
      </w:pPr>
      <w:r>
        <w:t xml:space="preserve">With U(T,V) and S(T,V), we can </w:t>
      </w:r>
      <w:r w:rsidR="00F3538B">
        <w:t xml:space="preserve">get F(T,V) = U(T,V) – TS(T,V) for instance, which is one of the thermodynamic potentials.  So from this we can construct everything we want.  And of course we can invert these equations to construct other potentials as desired.  </w:t>
      </w:r>
    </w:p>
    <w:p w14:paraId="1626666D" w14:textId="77777777" w:rsidR="0084658A" w:rsidRDefault="0084658A" w:rsidP="00207949">
      <w:pPr>
        <w:pStyle w:val="NoSpacing"/>
        <w:rPr>
          <w:b/>
          <w:sz w:val="28"/>
          <w:szCs w:val="28"/>
        </w:rPr>
      </w:pPr>
    </w:p>
    <w:p w14:paraId="41DF7923" w14:textId="2BF2A165" w:rsidR="00207949" w:rsidRPr="002E0348" w:rsidRDefault="00207949" w:rsidP="00207949">
      <w:pPr>
        <w:pStyle w:val="NoSpacing"/>
        <w:rPr>
          <w:b/>
          <w:sz w:val="28"/>
          <w:szCs w:val="28"/>
        </w:rPr>
      </w:pPr>
      <w:r w:rsidRPr="002E0348">
        <w:rPr>
          <w:b/>
          <w:sz w:val="28"/>
          <w:szCs w:val="28"/>
        </w:rPr>
        <w:t>Solids</w:t>
      </w:r>
    </w:p>
    <w:p w14:paraId="35371160" w14:textId="5E615F4F" w:rsidR="00207949" w:rsidRPr="00152524" w:rsidRDefault="00207949" w:rsidP="00207949">
      <w:pPr>
        <w:pStyle w:val="NoSpacing"/>
      </w:pPr>
      <w:r>
        <w:t xml:space="preserve">Now let’s consider a solid.  </w:t>
      </w:r>
      <w:r w:rsidR="00152524">
        <w:t xml:space="preserve">We typically have, in the high T regime, the following for the heat capacity, at some particular volume.  </w:t>
      </w:r>
    </w:p>
    <w:p w14:paraId="1CA26BAA" w14:textId="77777777" w:rsidR="00207949" w:rsidRDefault="00207949" w:rsidP="00207949">
      <w:pPr>
        <w:pStyle w:val="NoSpacing"/>
      </w:pPr>
    </w:p>
    <w:p w14:paraId="65B7A2F1" w14:textId="77777777" w:rsidR="00152524" w:rsidRDefault="00207949" w:rsidP="00207949">
      <w:pPr>
        <w:pStyle w:val="NoSpacing"/>
      </w:pPr>
      <w:r w:rsidRPr="002E0348">
        <w:rPr>
          <w:position w:val="-24"/>
        </w:rPr>
        <w:object w:dxaOrig="2140" w:dyaOrig="620" w14:anchorId="2FC5254B">
          <v:shape id="_x0000_i1034" type="#_x0000_t75" style="width:107pt;height:30pt" o:ole="" o:bordertopcolor="teal" o:borderleftcolor="teal" o:borderbottomcolor="teal" o:borderrightcolor="teal">
            <v:imagedata r:id="rId22" o:title=""/>
            <w10:bordertop type="single" width="8"/>
            <w10:borderleft type="single" width="8"/>
            <w10:borderbottom type="single" width="8"/>
            <w10:borderright type="single" width="8"/>
          </v:shape>
          <o:OLEObject Type="Embed" ProgID="Equation.DSMT4" ShapeID="_x0000_i1034" DrawAspect="Content" ObjectID="_1783595632" r:id="rId23"/>
        </w:object>
      </w:r>
      <w:r w:rsidR="00152524" w:rsidRPr="00152524">
        <w:t xml:space="preserve"> </w:t>
      </w:r>
    </w:p>
    <w:p w14:paraId="120C5053" w14:textId="77777777" w:rsidR="00152524" w:rsidRDefault="00152524" w:rsidP="00207949">
      <w:pPr>
        <w:pStyle w:val="NoSpacing"/>
      </w:pPr>
    </w:p>
    <w:p w14:paraId="1E091FCB" w14:textId="300A57B6" w:rsidR="00207949" w:rsidRPr="00F23AD8" w:rsidRDefault="00152524" w:rsidP="00207949">
      <w:pPr>
        <w:pStyle w:val="NoSpacing"/>
      </w:pPr>
      <w:r>
        <w:t>How C</w:t>
      </w:r>
      <w:r>
        <w:rPr>
          <w:vertAlign w:val="subscript"/>
        </w:rPr>
        <w:t>V</w:t>
      </w:r>
      <w:r>
        <w:t xml:space="preserve"> might depend on volume we don’t necessarily know.  So we’ll just leave it as is.  For the equation of state, it is usually convenient to define two ancillary quantities</w:t>
      </w:r>
      <w:r w:rsidR="00F23AD8">
        <w:t xml:space="preserve">, the coefficient of thermal expansion, </w:t>
      </w:r>
      <w:r w:rsidR="00F23AD8">
        <w:rPr>
          <w:rFonts w:ascii="Calibri" w:hAnsi="Calibri" w:cs="Calibri"/>
        </w:rPr>
        <w:t>α</w:t>
      </w:r>
      <w:r w:rsidR="00F23AD8">
        <w:t xml:space="preserve">, and the isothermal compressibility, </w:t>
      </w:r>
      <w:r w:rsidR="00F23AD8">
        <w:rPr>
          <w:rFonts w:ascii="Calibri" w:hAnsi="Calibri" w:cs="Calibri"/>
        </w:rPr>
        <w:t>β</w:t>
      </w:r>
      <w:r w:rsidR="00F23AD8">
        <w:t xml:space="preserve"> (also called </w:t>
      </w:r>
      <w:r w:rsidR="00F23AD8">
        <w:rPr>
          <w:rFonts w:ascii="Calibri" w:hAnsi="Calibri" w:cs="Calibri"/>
        </w:rPr>
        <w:t>κ</w:t>
      </w:r>
      <w:r w:rsidR="00F23AD8">
        <w:rPr>
          <w:vertAlign w:val="subscript"/>
        </w:rPr>
        <w:t>T</w:t>
      </w:r>
      <w:r w:rsidR="008A023E">
        <w:t xml:space="preserve">, and also </w:t>
      </w:r>
      <w:r w:rsidR="00C87657">
        <w:t>1/B, where B is</w:t>
      </w:r>
      <w:r w:rsidR="008A023E">
        <w:t xml:space="preserve"> the isothermal bulk modulus).  </w:t>
      </w:r>
    </w:p>
    <w:p w14:paraId="5F1569B7" w14:textId="77777777" w:rsidR="00207949" w:rsidRDefault="00207949" w:rsidP="00207949">
      <w:pPr>
        <w:pStyle w:val="NoSpacing"/>
      </w:pPr>
    </w:p>
    <w:p w14:paraId="53856972" w14:textId="033DB96D" w:rsidR="00207949" w:rsidRDefault="00152524" w:rsidP="00207949">
      <w:pPr>
        <w:pStyle w:val="NoSpacing"/>
      </w:pPr>
      <w:r w:rsidRPr="00370EF2">
        <w:rPr>
          <w:position w:val="-68"/>
        </w:rPr>
        <w:object w:dxaOrig="6080" w:dyaOrig="1480" w14:anchorId="39348E15">
          <v:shape id="_x0000_i1035" type="#_x0000_t75" style="width:301.5pt;height:1in" o:ole="" o:bordertopcolor="this" o:borderleftcolor="this" o:borderbottomcolor="this" o:borderrightcolor="this" fillcolor="#cfc">
            <v:imagedata r:id="rId24" o:title=""/>
            <w10:bordertop type="single" width="8"/>
            <w10:borderleft type="single" width="8"/>
            <w10:borderbottom type="single" width="8"/>
            <w10:borderright type="single" width="8"/>
          </v:shape>
          <o:OLEObject Type="Embed" ProgID="Equation.DSMT4" ShapeID="_x0000_i1035" DrawAspect="Content" ObjectID="_1783595633" r:id="rId25"/>
        </w:object>
      </w:r>
    </w:p>
    <w:p w14:paraId="402B1DB2" w14:textId="77777777" w:rsidR="00207949" w:rsidRDefault="00207949" w:rsidP="00207949">
      <w:pPr>
        <w:pStyle w:val="NoSpacing"/>
      </w:pPr>
    </w:p>
    <w:p w14:paraId="511F02FD" w14:textId="77777777" w:rsidR="00207949" w:rsidRDefault="00207949" w:rsidP="00207949">
      <w:pPr>
        <w:pStyle w:val="NoSpacing"/>
      </w:pPr>
      <w:r>
        <w:t>from which it follows that the differential of V(T,p) is given by:</w:t>
      </w:r>
    </w:p>
    <w:p w14:paraId="2DC28F22" w14:textId="77777777" w:rsidR="00207949" w:rsidRDefault="00207949" w:rsidP="00207949">
      <w:pPr>
        <w:pStyle w:val="NoSpacing"/>
      </w:pPr>
    </w:p>
    <w:p w14:paraId="1BF9E26C" w14:textId="77777777" w:rsidR="00207949" w:rsidRDefault="00207949" w:rsidP="00207949">
      <w:pPr>
        <w:pStyle w:val="NoSpacing"/>
      </w:pPr>
      <w:r w:rsidRPr="004E2F2C">
        <w:rPr>
          <w:position w:val="-24"/>
        </w:rPr>
        <w:object w:dxaOrig="1719" w:dyaOrig="620" w14:anchorId="303B7B52">
          <v:shape id="_x0000_i1036" type="#_x0000_t75" style="width:70pt;height:30pt" o:ole="">
            <v:imagedata r:id="rId26" o:title=""/>
          </v:shape>
          <o:OLEObject Type="Embed" ProgID="Equation.DSMT4" ShapeID="_x0000_i1036" DrawAspect="Content" ObjectID="_1783595634" r:id="rId27"/>
        </w:object>
      </w:r>
    </w:p>
    <w:p w14:paraId="5C6FFF42" w14:textId="77777777" w:rsidR="00207949" w:rsidRDefault="00207949" w:rsidP="00207949">
      <w:pPr>
        <w:pStyle w:val="NoSpacing"/>
      </w:pPr>
    </w:p>
    <w:p w14:paraId="4FA05F64" w14:textId="77777777" w:rsidR="00207949" w:rsidRDefault="00207949" w:rsidP="00207949">
      <w:pPr>
        <w:pStyle w:val="NoSpacing"/>
      </w:pPr>
      <w:r>
        <w:t>For solids, these coefficients are approximately constant, and so we can integrate and obtain:</w:t>
      </w:r>
    </w:p>
    <w:p w14:paraId="5678660E" w14:textId="77777777" w:rsidR="00207949" w:rsidRDefault="00207949" w:rsidP="00207949">
      <w:pPr>
        <w:pStyle w:val="NoSpacing"/>
      </w:pPr>
    </w:p>
    <w:bookmarkStart w:id="0" w:name="_Hlk486110235"/>
    <w:p w14:paraId="63F0020C" w14:textId="69560793" w:rsidR="00207949" w:rsidRDefault="00207949" w:rsidP="00207949">
      <w:pPr>
        <w:pStyle w:val="NoSpacing"/>
      </w:pPr>
      <w:r w:rsidRPr="005A6139">
        <w:rPr>
          <w:position w:val="-100"/>
        </w:rPr>
        <w:object w:dxaOrig="3300" w:dyaOrig="2160" w14:anchorId="74F6BB66">
          <v:shape id="_x0000_i1037" type="#_x0000_t75" style="width:168pt;height:100.5pt" o:ole="">
            <v:imagedata r:id="rId28" o:title=""/>
          </v:shape>
          <o:OLEObject Type="Embed" ProgID="Equation.DSMT4" ShapeID="_x0000_i1037" DrawAspect="Content" ObjectID="_1783595635" r:id="rId29"/>
        </w:object>
      </w:r>
      <w:bookmarkEnd w:id="0"/>
    </w:p>
    <w:p w14:paraId="246D82F2" w14:textId="18455103" w:rsidR="00152524" w:rsidRDefault="00152524" w:rsidP="00207949">
      <w:pPr>
        <w:pStyle w:val="NoSpacing"/>
      </w:pPr>
    </w:p>
    <w:p w14:paraId="3641A46D" w14:textId="743A6919" w:rsidR="00152524" w:rsidRDefault="00152524" w:rsidP="00207949">
      <w:pPr>
        <w:pStyle w:val="NoSpacing"/>
      </w:pPr>
      <w:r>
        <w:t>So,</w:t>
      </w:r>
    </w:p>
    <w:p w14:paraId="7FDEDC30" w14:textId="23B2243C" w:rsidR="00152524" w:rsidRDefault="00152524" w:rsidP="00207949">
      <w:pPr>
        <w:pStyle w:val="NoSpacing"/>
      </w:pPr>
    </w:p>
    <w:p w14:paraId="0424E2F3" w14:textId="410DD32E" w:rsidR="00152524" w:rsidRDefault="00152524" w:rsidP="00207949">
      <w:pPr>
        <w:pStyle w:val="NoSpacing"/>
      </w:pPr>
      <w:r w:rsidRPr="00152524">
        <w:rPr>
          <w:position w:val="-30"/>
        </w:rPr>
        <w:object w:dxaOrig="3360" w:dyaOrig="680" w14:anchorId="2ACA5C00">
          <v:shape id="_x0000_i1038" type="#_x0000_t75" style="width:171pt;height:32pt" o:ole="" o:bordertopcolor="#0070c0" o:borderleftcolor="#0070c0" o:borderbottomcolor="#0070c0" o:borderrightcolor="#0070c0">
            <v:imagedata r:id="rId30" o:title=""/>
            <w10:bordertop type="single" width="8" shadow="t"/>
            <w10:borderleft type="single" width="8" shadow="t"/>
            <w10:borderbottom type="single" width="8" shadow="t"/>
            <w10:borderright type="single" width="8" shadow="t"/>
          </v:shape>
          <o:OLEObject Type="Embed" ProgID="Equation.DSMT4" ShapeID="_x0000_i1038" DrawAspect="Content" ObjectID="_1783595636" r:id="rId31"/>
        </w:object>
      </w:r>
    </w:p>
    <w:p w14:paraId="098B73D5" w14:textId="77777777" w:rsidR="00207949" w:rsidRDefault="00207949" w:rsidP="00207949">
      <w:pPr>
        <w:pStyle w:val="NoSpacing"/>
      </w:pPr>
    </w:p>
    <w:p w14:paraId="45E77451" w14:textId="4288CB83" w:rsidR="00207949" w:rsidRDefault="00207949" w:rsidP="00207949">
      <w:pPr>
        <w:pStyle w:val="NoSpacing"/>
      </w:pPr>
      <w:r>
        <w:t xml:space="preserve">So now let’s use </w:t>
      </w:r>
      <w:r w:rsidR="00152524">
        <w:t>these</w:t>
      </w:r>
      <w:r>
        <w:t xml:space="preserve"> to get U.  Well we have:</w:t>
      </w:r>
    </w:p>
    <w:p w14:paraId="5B661B45" w14:textId="77777777" w:rsidR="00207949" w:rsidRDefault="00207949" w:rsidP="00207949">
      <w:pPr>
        <w:pStyle w:val="NoSpacing"/>
      </w:pPr>
    </w:p>
    <w:p w14:paraId="773109B8" w14:textId="7B80FE1F" w:rsidR="00207949" w:rsidRDefault="00B357B7" w:rsidP="00207949">
      <w:pPr>
        <w:pStyle w:val="NoSpacing"/>
      </w:pPr>
      <w:r w:rsidRPr="00B357B7">
        <w:rPr>
          <w:position w:val="-146"/>
        </w:rPr>
        <w:object w:dxaOrig="5160" w:dyaOrig="3040" w14:anchorId="38802440">
          <v:shape id="_x0000_i1039" type="#_x0000_t75" style="width:258.5pt;height:151pt" o:ole="">
            <v:imagedata r:id="rId32" o:title=""/>
          </v:shape>
          <o:OLEObject Type="Embed" ProgID="Equation.DSMT4" ShapeID="_x0000_i1039" DrawAspect="Content" ObjectID="_1783595637" r:id="rId33"/>
        </w:object>
      </w:r>
    </w:p>
    <w:p w14:paraId="2F4EC803" w14:textId="77777777" w:rsidR="00207949" w:rsidRDefault="00207949" w:rsidP="00207949">
      <w:pPr>
        <w:pStyle w:val="NoSpacing"/>
      </w:pPr>
    </w:p>
    <w:p w14:paraId="7C5BF1C7" w14:textId="77777777" w:rsidR="00207949" w:rsidRDefault="00207949" w:rsidP="00207949">
      <w:pPr>
        <w:pStyle w:val="NoSpacing"/>
      </w:pPr>
      <w:r>
        <w:t xml:space="preserve">We’d like to integrate.  But we do not necessarily know if </w:t>
      </w:r>
      <w:r w:rsidRPr="00912A85">
        <w:rPr>
          <w:u w:val="single"/>
        </w:rPr>
        <w:t>C</w:t>
      </w:r>
      <w:r>
        <w:rPr>
          <w:vertAlign w:val="subscript"/>
        </w:rPr>
        <w:t>V</w:t>
      </w:r>
      <w:r>
        <w:t xml:space="preserve"> depends on V or not and so cannot really integrate yet.  But it turns out we can determine this information from the equation of state!  For instance,</w:t>
      </w:r>
    </w:p>
    <w:p w14:paraId="6E576590" w14:textId="77777777" w:rsidR="00207949" w:rsidRDefault="00207949" w:rsidP="00207949">
      <w:pPr>
        <w:pStyle w:val="NoSpacing"/>
      </w:pPr>
    </w:p>
    <w:p w14:paraId="29E03256" w14:textId="77777777" w:rsidR="00207949" w:rsidRPr="00CF6361" w:rsidRDefault="00207949" w:rsidP="00207949">
      <w:pPr>
        <w:pStyle w:val="NoSpacing"/>
      </w:pPr>
      <w:r w:rsidRPr="0037007B">
        <w:rPr>
          <w:position w:val="-34"/>
        </w:rPr>
        <w:object w:dxaOrig="6420" w:dyaOrig="780" w14:anchorId="26FB902E">
          <v:shape id="_x0000_i1040" type="#_x0000_t75" style="width:322.5pt;height:39pt" o:ole="">
            <v:imagedata r:id="rId34" o:title=""/>
          </v:shape>
          <o:OLEObject Type="Embed" ProgID="Equation.DSMT4" ShapeID="_x0000_i1040" DrawAspect="Content" ObjectID="_1783595638" r:id="rId35"/>
        </w:object>
      </w:r>
      <w:r>
        <w:t xml:space="preserve"> </w:t>
      </w:r>
    </w:p>
    <w:p w14:paraId="18F7CBCF" w14:textId="77777777" w:rsidR="00207949" w:rsidRDefault="00207949" w:rsidP="00207949">
      <w:pPr>
        <w:pStyle w:val="NoSpacing"/>
      </w:pPr>
    </w:p>
    <w:p w14:paraId="7552915F" w14:textId="77777777" w:rsidR="00207949" w:rsidRDefault="00207949" w:rsidP="00207949">
      <w:pPr>
        <w:pStyle w:val="NoSpacing"/>
      </w:pPr>
      <w:r>
        <w:t xml:space="preserve">(remember that the variable subscripts aren’t saying that we’re holding those things constant per se´ - its more like they are telling us what the independent variables are).  So we see that </w:t>
      </w:r>
      <w:r w:rsidRPr="00912A85">
        <w:rPr>
          <w:u w:val="single"/>
        </w:rPr>
        <w:t>C</w:t>
      </w:r>
      <w:r>
        <w:rPr>
          <w:vertAlign w:val="subscript"/>
        </w:rPr>
        <w:t>V</w:t>
      </w:r>
      <w:r>
        <w:t xml:space="preserve"> can only depend on T, given the equation of state!  Integrating we get:</w:t>
      </w:r>
    </w:p>
    <w:p w14:paraId="7B9FED28" w14:textId="77777777" w:rsidR="00207949" w:rsidRDefault="00207949" w:rsidP="00207949">
      <w:pPr>
        <w:pStyle w:val="NoSpacing"/>
      </w:pPr>
    </w:p>
    <w:p w14:paraId="415A1D47" w14:textId="77777777" w:rsidR="00207949" w:rsidRDefault="00207949" w:rsidP="00207949">
      <w:pPr>
        <w:pStyle w:val="NoSpacing"/>
      </w:pPr>
      <w:r w:rsidRPr="0008021B">
        <w:rPr>
          <w:position w:val="-72"/>
        </w:rPr>
        <w:object w:dxaOrig="7440" w:dyaOrig="1560" w14:anchorId="1BD701E4">
          <v:shape id="_x0000_i1041" type="#_x0000_t75" style="width:372.5pt;height:78.5pt" o:ole="">
            <v:imagedata r:id="rId36" o:title=""/>
          </v:shape>
          <o:OLEObject Type="Embed" ProgID="Equation.DSMT4" ShapeID="_x0000_i1041" DrawAspect="Content" ObjectID="_1783595639" r:id="rId37"/>
        </w:object>
      </w:r>
    </w:p>
    <w:p w14:paraId="39220F79" w14:textId="77777777" w:rsidR="00207949" w:rsidRDefault="00207949" w:rsidP="00207949">
      <w:pPr>
        <w:pStyle w:val="NoSpacing"/>
      </w:pPr>
    </w:p>
    <w:p w14:paraId="6AB87743" w14:textId="77777777" w:rsidR="00207949" w:rsidRDefault="00207949" w:rsidP="00207949">
      <w:pPr>
        <w:pStyle w:val="NoSpacing"/>
      </w:pPr>
      <w:r>
        <w:t xml:space="preserve">We could define </w:t>
      </w:r>
      <w:r w:rsidRPr="00611999">
        <w:rPr>
          <w:u w:val="single"/>
        </w:rPr>
        <w:t>U</w:t>
      </w:r>
      <w:r>
        <w:rPr>
          <w:vertAlign w:val="subscript"/>
        </w:rPr>
        <w:t>0</w:t>
      </w:r>
      <w:r>
        <w:t xml:space="preserve"> so as to eliminate the constant and so obtain:</w:t>
      </w:r>
    </w:p>
    <w:p w14:paraId="41C42B2B" w14:textId="77777777" w:rsidR="00207949" w:rsidRDefault="00207949" w:rsidP="00207949">
      <w:pPr>
        <w:pStyle w:val="NoSpacing"/>
      </w:pPr>
    </w:p>
    <w:p w14:paraId="1DB8E4B1" w14:textId="77777777" w:rsidR="00207949" w:rsidRDefault="00207949" w:rsidP="00207949">
      <w:pPr>
        <w:pStyle w:val="NoSpacing"/>
      </w:pPr>
      <w:r w:rsidRPr="006862F6">
        <w:rPr>
          <w:position w:val="-32"/>
        </w:rPr>
        <w:object w:dxaOrig="4340" w:dyaOrig="820" w14:anchorId="22703EC1">
          <v:shape id="_x0000_i1042" type="#_x0000_t75" style="width:217pt;height:41pt" o:ole="">
            <v:imagedata r:id="rId38" o:title=""/>
          </v:shape>
          <o:OLEObject Type="Embed" ProgID="Equation.DSMT4" ShapeID="_x0000_i1042" DrawAspect="Content" ObjectID="_1783595640" r:id="rId39"/>
        </w:object>
      </w:r>
    </w:p>
    <w:p w14:paraId="592A2C7F" w14:textId="77777777" w:rsidR="00207949" w:rsidRDefault="00207949" w:rsidP="00207949">
      <w:pPr>
        <w:pStyle w:val="NoSpacing"/>
      </w:pPr>
    </w:p>
    <w:p w14:paraId="41F9E7F1" w14:textId="77777777" w:rsidR="00207949" w:rsidRPr="004D6958" w:rsidRDefault="00207949" w:rsidP="00207949">
      <w:pPr>
        <w:pStyle w:val="NoSpacing"/>
      </w:pPr>
      <w:r>
        <w:t xml:space="preserve">Multiplying by N, and presuming </w:t>
      </w:r>
      <w:r w:rsidRPr="004D6958">
        <w:rPr>
          <w:u w:val="single"/>
        </w:rPr>
        <w:t>C</w:t>
      </w:r>
      <w:r>
        <w:rPr>
          <w:vertAlign w:val="subscript"/>
        </w:rPr>
        <w:t>V</w:t>
      </w:r>
      <w:r>
        <w:t xml:space="preserve"> = fk/2, we have:</w:t>
      </w:r>
    </w:p>
    <w:p w14:paraId="2B43E04B" w14:textId="77777777" w:rsidR="00207949" w:rsidRDefault="00207949" w:rsidP="00207949">
      <w:pPr>
        <w:pStyle w:val="NoSpacing"/>
      </w:pPr>
    </w:p>
    <w:bookmarkStart w:id="1" w:name="_Hlk486170942"/>
    <w:p w14:paraId="66006B9E" w14:textId="77777777" w:rsidR="00207949" w:rsidRDefault="00207949" w:rsidP="00207949">
      <w:pPr>
        <w:pStyle w:val="NoSpacing"/>
      </w:pPr>
      <w:r w:rsidRPr="006862F6">
        <w:rPr>
          <w:position w:val="-32"/>
        </w:rPr>
        <w:object w:dxaOrig="4620" w:dyaOrig="820" w14:anchorId="47242B0F">
          <v:shape id="_x0000_i1043" type="#_x0000_t75" style="width:231pt;height:41pt" o:ole="">
            <v:imagedata r:id="rId40" o:title=""/>
          </v:shape>
          <o:OLEObject Type="Embed" ProgID="Equation.DSMT4" ShapeID="_x0000_i1043" DrawAspect="Content" ObjectID="_1783595641" r:id="rId41"/>
        </w:object>
      </w:r>
      <w:bookmarkEnd w:id="1"/>
    </w:p>
    <w:p w14:paraId="392D8C74" w14:textId="77777777" w:rsidR="00207949" w:rsidRDefault="00207949" w:rsidP="00207949">
      <w:pPr>
        <w:pStyle w:val="NoSpacing"/>
      </w:pPr>
    </w:p>
    <w:p w14:paraId="237201E1" w14:textId="77777777" w:rsidR="00207949" w:rsidRDefault="00207949" w:rsidP="00207949">
      <w:pPr>
        <w:pStyle w:val="NoSpacing"/>
      </w:pPr>
      <w:r>
        <w:t>Let V</w:t>
      </w:r>
      <w:r>
        <w:rPr>
          <w:vertAlign w:val="subscript"/>
        </w:rPr>
        <w:t>0</w:t>
      </w:r>
      <w:r>
        <w:t xml:space="preserve"> = </w:t>
      </w:r>
      <w:r>
        <w:rPr>
          <w:rFonts w:ascii="Calibri" w:hAnsi="Calibri" w:cs="Calibri"/>
        </w:rPr>
        <w:t>υ</w:t>
      </w:r>
      <w:r>
        <w:t xml:space="preserve"> when p</w:t>
      </w:r>
      <w:r>
        <w:rPr>
          <w:vertAlign w:val="subscript"/>
        </w:rPr>
        <w:t>0</w:t>
      </w:r>
      <w:r>
        <w:t xml:space="preserve"> = </w:t>
      </w:r>
      <w:r>
        <w:rPr>
          <w:rFonts w:ascii="Calibri" w:hAnsi="Calibri" w:cs="Calibri"/>
        </w:rPr>
        <w:t>α</w:t>
      </w:r>
      <w:r>
        <w:t>T</w:t>
      </w:r>
      <w:r>
        <w:rPr>
          <w:vertAlign w:val="subscript"/>
        </w:rPr>
        <w:t>0</w:t>
      </w:r>
      <w:r>
        <w:t>/</w:t>
      </w:r>
      <w:r>
        <w:rPr>
          <w:rFonts w:ascii="Calibri" w:hAnsi="Calibri" w:cs="Calibri"/>
        </w:rPr>
        <w:t>β</w:t>
      </w:r>
      <w:r>
        <w:t>, whatever that is.  Then we could write this as:</w:t>
      </w:r>
    </w:p>
    <w:p w14:paraId="67BED001" w14:textId="77777777" w:rsidR="00207949" w:rsidRDefault="00207949" w:rsidP="00207949">
      <w:pPr>
        <w:pStyle w:val="NoSpacing"/>
      </w:pPr>
    </w:p>
    <w:p w14:paraId="1E3EAA34" w14:textId="77777777" w:rsidR="00207949" w:rsidRPr="004D6958" w:rsidRDefault="00207949" w:rsidP="00207949">
      <w:pPr>
        <w:pStyle w:val="NoSpacing"/>
      </w:pPr>
      <w:r w:rsidRPr="000E4B45">
        <w:rPr>
          <w:position w:val="-28"/>
        </w:rPr>
        <w:object w:dxaOrig="2620" w:dyaOrig="660" w14:anchorId="5194BA16">
          <v:shape id="_x0000_i1044" type="#_x0000_t75" style="width:130.5pt;height:33.5pt" o:ole="" filled="t" fillcolor="#cfc">
            <v:imagedata r:id="rId42" o:title=""/>
          </v:shape>
          <o:OLEObject Type="Embed" ProgID="Equation.DSMT4" ShapeID="_x0000_i1044" DrawAspect="Content" ObjectID="_1783595642" r:id="rId43"/>
        </w:object>
      </w:r>
    </w:p>
    <w:p w14:paraId="65145FAF" w14:textId="77777777" w:rsidR="00207949" w:rsidRDefault="00207949" w:rsidP="00207949">
      <w:pPr>
        <w:pStyle w:val="NoSpacing"/>
      </w:pPr>
    </w:p>
    <w:p w14:paraId="59A7B1C3" w14:textId="77777777" w:rsidR="00207949" w:rsidRDefault="00207949" w:rsidP="00207949">
      <w:pPr>
        <w:pStyle w:val="NoSpacing"/>
      </w:pPr>
      <w:r>
        <w:t>The spring-like nature of the energy is clearly evinced, with 1/</w:t>
      </w:r>
      <w:r>
        <w:rPr>
          <w:rFonts w:ascii="Calibri" w:hAnsi="Calibri" w:cs="Calibri"/>
        </w:rPr>
        <w:t>βυ</w:t>
      </w:r>
      <w:r>
        <w:t xml:space="preserve"> serving as the spring constant.  Now let’s consider the entropy.  We have:</w:t>
      </w:r>
    </w:p>
    <w:p w14:paraId="115B62FB" w14:textId="77777777" w:rsidR="00207949" w:rsidRDefault="00207949" w:rsidP="00207949">
      <w:pPr>
        <w:pStyle w:val="NoSpacing"/>
      </w:pPr>
    </w:p>
    <w:p w14:paraId="79F0E230" w14:textId="77777777" w:rsidR="00207949" w:rsidRDefault="00207949" w:rsidP="00207949">
      <w:pPr>
        <w:pStyle w:val="NoSpacing"/>
      </w:pPr>
      <w:r w:rsidRPr="00912A85">
        <w:rPr>
          <w:position w:val="-102"/>
        </w:rPr>
        <w:object w:dxaOrig="2840" w:dyaOrig="2200" w14:anchorId="51B3BD73">
          <v:shape id="_x0000_i1045" type="#_x0000_t75" style="width:141.5pt;height:111pt" o:ole="">
            <v:imagedata r:id="rId44" o:title=""/>
          </v:shape>
          <o:OLEObject Type="Embed" ProgID="Equation.DSMT4" ShapeID="_x0000_i1045" DrawAspect="Content" ObjectID="_1783595643" r:id="rId45"/>
        </w:object>
      </w:r>
    </w:p>
    <w:p w14:paraId="292255AF" w14:textId="77777777" w:rsidR="00207949" w:rsidRDefault="00207949" w:rsidP="00207949">
      <w:pPr>
        <w:pStyle w:val="NoSpacing"/>
      </w:pPr>
    </w:p>
    <w:p w14:paraId="253DD2FF" w14:textId="77777777" w:rsidR="00207949" w:rsidRDefault="00207949" w:rsidP="00207949">
      <w:pPr>
        <w:pStyle w:val="NoSpacing"/>
      </w:pPr>
      <w:r>
        <w:t>Integrating we get:</w:t>
      </w:r>
    </w:p>
    <w:p w14:paraId="4FD451DC" w14:textId="77777777" w:rsidR="00207949" w:rsidRDefault="00207949" w:rsidP="00207949">
      <w:pPr>
        <w:pStyle w:val="NoSpacing"/>
      </w:pPr>
    </w:p>
    <w:p w14:paraId="1F553ADE" w14:textId="77777777" w:rsidR="00207949" w:rsidRDefault="00207949" w:rsidP="00207949">
      <w:pPr>
        <w:pStyle w:val="NoSpacing"/>
      </w:pPr>
      <w:r w:rsidRPr="002F0C8D">
        <w:rPr>
          <w:position w:val="-34"/>
        </w:rPr>
        <w:object w:dxaOrig="2960" w:dyaOrig="760" w14:anchorId="7777CE59">
          <v:shape id="_x0000_i1046" type="#_x0000_t75" style="width:148pt;height:39pt" o:ole="">
            <v:imagedata r:id="rId46" o:title=""/>
          </v:shape>
          <o:OLEObject Type="Embed" ProgID="Equation.DSMT4" ShapeID="_x0000_i1046" DrawAspect="Content" ObjectID="_1783595644" r:id="rId47"/>
        </w:object>
      </w:r>
    </w:p>
    <w:p w14:paraId="23C0173D" w14:textId="77777777" w:rsidR="00207949" w:rsidRDefault="00207949" w:rsidP="00207949">
      <w:pPr>
        <w:pStyle w:val="NoSpacing"/>
      </w:pPr>
    </w:p>
    <w:p w14:paraId="1B4848AB" w14:textId="77777777" w:rsidR="00207949" w:rsidRDefault="00207949" w:rsidP="00207949">
      <w:pPr>
        <w:pStyle w:val="NoSpacing"/>
      </w:pPr>
      <w:r>
        <w:t>Again if we assume a constant (and usual) heat capacity we’ll have:</w:t>
      </w:r>
    </w:p>
    <w:p w14:paraId="3F1882DE" w14:textId="77777777" w:rsidR="00207949" w:rsidRDefault="00207949" w:rsidP="00207949">
      <w:pPr>
        <w:pStyle w:val="NoSpacing"/>
      </w:pPr>
    </w:p>
    <w:bookmarkStart w:id="2" w:name="_Hlk486171241"/>
    <w:p w14:paraId="2A6141B6" w14:textId="77777777" w:rsidR="00207949" w:rsidRDefault="00207949" w:rsidP="00207949">
      <w:pPr>
        <w:pStyle w:val="NoSpacing"/>
      </w:pPr>
      <w:r w:rsidRPr="00CF1F93">
        <w:rPr>
          <w:position w:val="-160"/>
        </w:rPr>
        <w:object w:dxaOrig="3440" w:dyaOrig="3320" w14:anchorId="4A3429E9">
          <v:shape id="_x0000_i1047" type="#_x0000_t75" style="width:172pt;height:167.5pt" o:ole="">
            <v:imagedata r:id="rId48" o:title=""/>
          </v:shape>
          <o:OLEObject Type="Embed" ProgID="Equation.DSMT4" ShapeID="_x0000_i1047" DrawAspect="Content" ObjectID="_1783595645" r:id="rId49"/>
        </w:object>
      </w:r>
      <w:bookmarkEnd w:id="2"/>
    </w:p>
    <w:p w14:paraId="7022AC65" w14:textId="77777777" w:rsidR="00207949" w:rsidRDefault="00207949" w:rsidP="00207949">
      <w:pPr>
        <w:pStyle w:val="NoSpacing"/>
      </w:pPr>
    </w:p>
    <w:p w14:paraId="7D3C9141" w14:textId="77777777" w:rsidR="00207949" w:rsidRDefault="00207949" w:rsidP="00207949">
      <w:pPr>
        <w:pStyle w:val="NoSpacing"/>
      </w:pPr>
      <w:r>
        <w:t>Multiplying through by N, defining a constant, and setting V</w:t>
      </w:r>
      <w:r>
        <w:rPr>
          <w:vertAlign w:val="subscript"/>
        </w:rPr>
        <w:t>0</w:t>
      </w:r>
      <w:r>
        <w:t xml:space="preserve"> = </w:t>
      </w:r>
      <w:r>
        <w:rPr>
          <w:rFonts w:ascii="Calibri" w:hAnsi="Calibri" w:cs="Calibri"/>
        </w:rPr>
        <w:t>υ</w:t>
      </w:r>
      <w:r>
        <w:t xml:space="preserve"> as before, we’ll have:</w:t>
      </w:r>
    </w:p>
    <w:p w14:paraId="179D607A" w14:textId="77777777" w:rsidR="00207949" w:rsidRDefault="00207949" w:rsidP="00207949">
      <w:pPr>
        <w:pStyle w:val="NoSpacing"/>
      </w:pPr>
    </w:p>
    <w:p w14:paraId="0B8AF786" w14:textId="77777777" w:rsidR="00207949" w:rsidRPr="0017060B" w:rsidRDefault="00207949" w:rsidP="00207949">
      <w:pPr>
        <w:pStyle w:val="NoSpacing"/>
      </w:pPr>
      <w:r w:rsidRPr="00CF1F93">
        <w:rPr>
          <w:position w:val="-32"/>
        </w:rPr>
        <w:object w:dxaOrig="5679" w:dyaOrig="760" w14:anchorId="4E38B9F8">
          <v:shape id="_x0000_i1048" type="#_x0000_t75" style="width:283.5pt;height:39pt" o:ole="" filled="t" fillcolor="#cfc">
            <v:imagedata r:id="rId50" o:title=""/>
          </v:shape>
          <o:OLEObject Type="Embed" ProgID="Equation.DSMT4" ShapeID="_x0000_i1048" DrawAspect="Content" ObjectID="_1783595646" r:id="rId51"/>
        </w:object>
      </w:r>
    </w:p>
    <w:p w14:paraId="6D4682EE" w14:textId="77777777" w:rsidR="00207949" w:rsidRDefault="00207949" w:rsidP="00207949">
      <w:pPr>
        <w:pStyle w:val="NoSpacing"/>
      </w:pPr>
    </w:p>
    <w:p w14:paraId="4519C797" w14:textId="77777777" w:rsidR="00207949" w:rsidRDefault="00207949" w:rsidP="00207949">
      <w:pPr>
        <w:pStyle w:val="NoSpacing"/>
      </w:pPr>
      <w:r>
        <w:t>And we could continue as usual.  Let’s now consider an interesting approach to getting the chemical potential of our solid.  First we’ll get a formula for the entropy in terms of T and p.</w:t>
      </w:r>
    </w:p>
    <w:p w14:paraId="090AD1B0" w14:textId="77777777" w:rsidR="00207949" w:rsidRDefault="00207949" w:rsidP="00207949">
      <w:pPr>
        <w:pStyle w:val="NoSpacing"/>
      </w:pPr>
    </w:p>
    <w:p w14:paraId="7F1AFAA4" w14:textId="77777777" w:rsidR="00207949" w:rsidRDefault="00207949" w:rsidP="00207949">
      <w:pPr>
        <w:pStyle w:val="NoSpacing"/>
      </w:pPr>
      <w:r w:rsidRPr="00397270">
        <w:rPr>
          <w:position w:val="-100"/>
        </w:rPr>
        <w:object w:dxaOrig="2740" w:dyaOrig="2200" w14:anchorId="71432F44">
          <v:shape id="_x0000_i1049" type="#_x0000_t75" style="width:138pt;height:111pt" o:ole="">
            <v:imagedata r:id="rId52" o:title=""/>
          </v:shape>
          <o:OLEObject Type="Embed" ProgID="Equation.DSMT4" ShapeID="_x0000_i1049" DrawAspect="Content" ObjectID="_1783595647" r:id="rId53"/>
        </w:object>
      </w:r>
      <w:r>
        <w:t xml:space="preserve"> </w:t>
      </w:r>
    </w:p>
    <w:p w14:paraId="490E5E23" w14:textId="77777777" w:rsidR="00207949" w:rsidRDefault="00207949" w:rsidP="00207949">
      <w:pPr>
        <w:pStyle w:val="NoSpacing"/>
      </w:pPr>
    </w:p>
    <w:p w14:paraId="473E4898" w14:textId="77777777" w:rsidR="00207949" w:rsidRDefault="00207949" w:rsidP="00207949">
      <w:pPr>
        <w:pStyle w:val="NoSpacing"/>
      </w:pPr>
      <w:r>
        <w:t>Integrating we get:</w:t>
      </w:r>
    </w:p>
    <w:p w14:paraId="3B73CDEE" w14:textId="77777777" w:rsidR="00207949" w:rsidRDefault="00207949" w:rsidP="00207949">
      <w:pPr>
        <w:pStyle w:val="NoSpacing"/>
      </w:pPr>
    </w:p>
    <w:p w14:paraId="64AFEDB7" w14:textId="77777777" w:rsidR="00207949" w:rsidRDefault="00207949" w:rsidP="00207949">
      <w:pPr>
        <w:pStyle w:val="NoSpacing"/>
      </w:pPr>
      <w:r w:rsidRPr="006E6855">
        <w:rPr>
          <w:position w:val="-32"/>
        </w:rPr>
        <w:object w:dxaOrig="2720" w:dyaOrig="760" w14:anchorId="39792B2E">
          <v:shape id="_x0000_i1050" type="#_x0000_t75" style="width:135pt;height:35.5pt" o:ole="">
            <v:imagedata r:id="rId54" o:title=""/>
          </v:shape>
          <o:OLEObject Type="Embed" ProgID="Equation.DSMT4" ShapeID="_x0000_i1050" DrawAspect="Content" ObjectID="_1783595648" r:id="rId55"/>
        </w:object>
      </w:r>
    </w:p>
    <w:p w14:paraId="4C3F5F8B" w14:textId="77777777" w:rsidR="00207949" w:rsidRDefault="00207949" w:rsidP="00207949">
      <w:pPr>
        <w:pStyle w:val="NoSpacing"/>
      </w:pPr>
    </w:p>
    <w:p w14:paraId="36413E13" w14:textId="77777777" w:rsidR="00207949" w:rsidRDefault="00207949" w:rsidP="00207949">
      <w:pPr>
        <w:pStyle w:val="NoSpacing"/>
      </w:pPr>
      <w:r>
        <w:t xml:space="preserve">Now </w:t>
      </w:r>
      <w:r w:rsidRPr="00DF4C25">
        <w:rPr>
          <w:u w:val="single"/>
        </w:rPr>
        <w:t>V</w:t>
      </w:r>
      <w:r>
        <w:t xml:space="preserve"> doesn’t change much with pressure.  So we can say:</w:t>
      </w:r>
    </w:p>
    <w:p w14:paraId="7FF72BED" w14:textId="77777777" w:rsidR="00207949" w:rsidRDefault="00207949" w:rsidP="00207949">
      <w:pPr>
        <w:pStyle w:val="NoSpacing"/>
      </w:pPr>
    </w:p>
    <w:p w14:paraId="485D18CF" w14:textId="77777777" w:rsidR="00207949" w:rsidRDefault="00207949" w:rsidP="00207949">
      <w:pPr>
        <w:pStyle w:val="NoSpacing"/>
      </w:pPr>
      <w:r w:rsidRPr="008A5F8B">
        <w:rPr>
          <w:position w:val="-70"/>
        </w:rPr>
        <w:object w:dxaOrig="2480" w:dyaOrig="1520" w14:anchorId="787A57B4">
          <v:shape id="_x0000_i1051" type="#_x0000_t75" style="width:125.5pt;height:78.5pt" o:ole="">
            <v:imagedata r:id="rId56" o:title=""/>
          </v:shape>
          <o:OLEObject Type="Embed" ProgID="Equation.DSMT4" ShapeID="_x0000_i1051" DrawAspect="Content" ObjectID="_1783595649" r:id="rId57"/>
        </w:object>
      </w:r>
    </w:p>
    <w:p w14:paraId="368DA4D3" w14:textId="77777777" w:rsidR="00207949" w:rsidRDefault="00207949" w:rsidP="00207949">
      <w:pPr>
        <w:pStyle w:val="NoSpacing"/>
      </w:pPr>
    </w:p>
    <w:p w14:paraId="72F91482" w14:textId="77777777" w:rsidR="00207949" w:rsidRDefault="00207949" w:rsidP="00207949">
      <w:pPr>
        <w:pStyle w:val="NoSpacing"/>
      </w:pPr>
      <w:r>
        <w:t xml:space="preserve">With </w:t>
      </w:r>
      <w:r w:rsidRPr="00DF4C25">
        <w:rPr>
          <w:u w:val="single"/>
        </w:rPr>
        <w:t>S</w:t>
      </w:r>
      <w:r>
        <w:t>, the chemical potential can be obtained from the Gibbs-Duhem equation:</w:t>
      </w:r>
    </w:p>
    <w:p w14:paraId="5894A19B" w14:textId="77777777" w:rsidR="00207949" w:rsidRDefault="00207949" w:rsidP="00207949">
      <w:pPr>
        <w:pStyle w:val="NoSpacing"/>
      </w:pPr>
    </w:p>
    <w:p w14:paraId="5908A42E" w14:textId="4A313DB1" w:rsidR="00207949" w:rsidRDefault="0076155C" w:rsidP="00207949">
      <w:pPr>
        <w:pStyle w:val="NoSpacing"/>
      </w:pPr>
      <w:r w:rsidRPr="00DF4C25">
        <w:rPr>
          <w:position w:val="-50"/>
        </w:rPr>
        <w:object w:dxaOrig="3200" w:dyaOrig="1120" w14:anchorId="088385FC">
          <v:shape id="_x0000_i1054" type="#_x0000_t75" style="width:160.5pt;height:57pt" o:ole="">
            <v:imagedata r:id="rId58" o:title=""/>
          </v:shape>
          <o:OLEObject Type="Embed" ProgID="Equation.DSMT4" ShapeID="_x0000_i1054" DrawAspect="Content" ObjectID="_1783595650" r:id="rId59"/>
        </w:object>
      </w:r>
    </w:p>
    <w:p w14:paraId="3B8F4FA1" w14:textId="77777777" w:rsidR="00207949" w:rsidRDefault="00207949" w:rsidP="00207949">
      <w:pPr>
        <w:pStyle w:val="NoSpacing"/>
      </w:pPr>
    </w:p>
    <w:p w14:paraId="34374F59" w14:textId="17C8272F" w:rsidR="002F548F" w:rsidRPr="0076155C" w:rsidRDefault="00090426" w:rsidP="00951096">
      <w:pPr>
        <w:pStyle w:val="NoSpacing"/>
        <w:rPr>
          <w:b/>
          <w:sz w:val="24"/>
          <w:szCs w:val="24"/>
        </w:rPr>
      </w:pPr>
      <w:r>
        <w:rPr>
          <w:b/>
          <w:sz w:val="24"/>
          <w:szCs w:val="24"/>
        </w:rPr>
        <w:t xml:space="preserve">More </w:t>
      </w:r>
      <w:r w:rsidR="0076155C" w:rsidRPr="0076155C">
        <w:rPr>
          <w:b/>
          <w:sz w:val="24"/>
          <w:szCs w:val="24"/>
        </w:rPr>
        <w:t>Elasticity Stuff</w:t>
      </w:r>
    </w:p>
    <w:p w14:paraId="1A520EC9" w14:textId="1EAABD7B" w:rsidR="0076155C" w:rsidRDefault="00090426" w:rsidP="00951096">
      <w:pPr>
        <w:pStyle w:val="NoSpacing"/>
        <w:rPr>
          <w:sz w:val="24"/>
          <w:szCs w:val="24"/>
        </w:rPr>
      </w:pPr>
      <w:r w:rsidRPr="00090426">
        <w:rPr>
          <w:sz w:val="24"/>
          <w:szCs w:val="24"/>
        </w:rPr>
        <w:t>Say we have</w:t>
      </w:r>
      <w:r>
        <w:rPr>
          <w:sz w:val="24"/>
          <w:szCs w:val="24"/>
        </w:rPr>
        <w:t xml:space="preserve"> a pipe of length L and diameter d.  If we apply a longitudinal strain, </w:t>
      </w:r>
      <w:r>
        <w:rPr>
          <w:rFonts w:ascii="Calibri" w:hAnsi="Calibri" w:cs="Calibri"/>
          <w:sz w:val="24"/>
          <w:szCs w:val="24"/>
        </w:rPr>
        <w:t>Δ</w:t>
      </w:r>
      <w:r>
        <w:rPr>
          <w:sz w:val="24"/>
          <w:szCs w:val="24"/>
        </w:rPr>
        <w:t xml:space="preserve">L/L, then there will be a transverse strain as well, </w:t>
      </w:r>
      <w:r>
        <w:rPr>
          <w:rFonts w:ascii="Calibri" w:hAnsi="Calibri" w:cs="Calibri"/>
          <w:sz w:val="24"/>
          <w:szCs w:val="24"/>
        </w:rPr>
        <w:t>Δ</w:t>
      </w:r>
      <w:r>
        <w:rPr>
          <w:sz w:val="24"/>
          <w:szCs w:val="24"/>
        </w:rPr>
        <w:t>d/d.  These are related via:</w:t>
      </w:r>
    </w:p>
    <w:p w14:paraId="3CC00AA1" w14:textId="77777777" w:rsidR="00090426" w:rsidRDefault="00090426" w:rsidP="00951096">
      <w:pPr>
        <w:pStyle w:val="NoSpacing"/>
        <w:rPr>
          <w:sz w:val="24"/>
          <w:szCs w:val="24"/>
        </w:rPr>
      </w:pPr>
    </w:p>
    <w:p w14:paraId="66AB3EB8" w14:textId="753BEACD" w:rsidR="00090426" w:rsidRDefault="006749A4" w:rsidP="00951096">
      <w:pPr>
        <w:pStyle w:val="NoSpacing"/>
        <w:rPr>
          <w:sz w:val="24"/>
          <w:szCs w:val="24"/>
        </w:rPr>
      </w:pPr>
      <w:r w:rsidRPr="00090426">
        <w:rPr>
          <w:position w:val="-24"/>
          <w:sz w:val="24"/>
          <w:szCs w:val="24"/>
        </w:rPr>
        <w:object w:dxaOrig="4720" w:dyaOrig="620" w14:anchorId="2D79BC2E">
          <v:shape id="_x0000_i1060" type="#_x0000_t75" style="width:236pt;height:31pt" o:ole="" fillcolor="#cfc">
            <v:imagedata r:id="rId60" o:title=""/>
          </v:shape>
          <o:OLEObject Type="Embed" ProgID="Equation.DSMT4" ShapeID="_x0000_i1060" DrawAspect="Content" ObjectID="_1783595651" r:id="rId61"/>
        </w:object>
      </w:r>
    </w:p>
    <w:p w14:paraId="350DF0D6" w14:textId="77777777" w:rsidR="00090426" w:rsidRDefault="00090426" w:rsidP="00951096">
      <w:pPr>
        <w:pStyle w:val="NoSpacing"/>
        <w:rPr>
          <w:sz w:val="24"/>
          <w:szCs w:val="24"/>
        </w:rPr>
      </w:pPr>
    </w:p>
    <w:p w14:paraId="7EA86D49" w14:textId="07C13FAB" w:rsidR="006749A4" w:rsidRDefault="00377015" w:rsidP="00951096">
      <w:pPr>
        <w:pStyle w:val="NoSpacing"/>
        <w:rPr>
          <w:sz w:val="24"/>
          <w:szCs w:val="24"/>
        </w:rPr>
      </w:pPr>
      <w:r>
        <w:rPr>
          <w:sz w:val="24"/>
          <w:szCs w:val="24"/>
        </w:rPr>
        <w:t xml:space="preserve">Makes sense that the diameter should get smaller if length gets longer right?  Well, I guess there isn’t a conservation of volume thing </w:t>
      </w:r>
      <w:r w:rsidRPr="00377015">
        <w:rPr>
          <w:i/>
          <w:sz w:val="24"/>
          <w:szCs w:val="24"/>
        </w:rPr>
        <w:t>necessarily</w:t>
      </w:r>
      <w:r>
        <w:rPr>
          <w:sz w:val="24"/>
          <w:szCs w:val="24"/>
        </w:rPr>
        <w:t xml:space="preserve">, because sometimes </w:t>
      </w:r>
      <w:r>
        <w:rPr>
          <w:rFonts w:ascii="Calibri" w:hAnsi="Calibri" w:cs="Calibri"/>
          <w:sz w:val="24"/>
          <w:szCs w:val="24"/>
        </w:rPr>
        <w:t>ν</w:t>
      </w:r>
      <w:r>
        <w:rPr>
          <w:sz w:val="24"/>
          <w:szCs w:val="24"/>
        </w:rPr>
        <w:t xml:space="preserve"> can be negative.  </w:t>
      </w:r>
      <w:r w:rsidR="006749A4">
        <w:rPr>
          <w:sz w:val="24"/>
          <w:szCs w:val="24"/>
        </w:rPr>
        <w:t xml:space="preserve">The Young’s and Shear moduli are related via </w:t>
      </w:r>
      <w:r w:rsidR="006749A4">
        <w:rPr>
          <w:rFonts w:ascii="Calibri" w:hAnsi="Calibri" w:cs="Calibri"/>
          <w:sz w:val="24"/>
          <w:szCs w:val="24"/>
        </w:rPr>
        <w:t>ν</w:t>
      </w:r>
      <w:r w:rsidR="006749A4">
        <w:rPr>
          <w:sz w:val="24"/>
          <w:szCs w:val="24"/>
        </w:rPr>
        <w:t xml:space="preserve">.  </w:t>
      </w:r>
    </w:p>
    <w:p w14:paraId="6BAE2113" w14:textId="77777777" w:rsidR="006749A4" w:rsidRDefault="006749A4" w:rsidP="00951096">
      <w:pPr>
        <w:pStyle w:val="NoSpacing"/>
        <w:rPr>
          <w:sz w:val="24"/>
          <w:szCs w:val="24"/>
        </w:rPr>
      </w:pPr>
    </w:p>
    <w:p w14:paraId="1BEF8A07" w14:textId="69CC71CD" w:rsidR="006749A4" w:rsidRDefault="00A17EE9" w:rsidP="00951096">
      <w:pPr>
        <w:pStyle w:val="NoSpacing"/>
        <w:rPr>
          <w:sz w:val="24"/>
          <w:szCs w:val="24"/>
        </w:rPr>
      </w:pPr>
      <w:r w:rsidRPr="006749A4">
        <w:rPr>
          <w:position w:val="-28"/>
          <w:sz w:val="24"/>
          <w:szCs w:val="24"/>
        </w:rPr>
        <w:object w:dxaOrig="1200" w:dyaOrig="660" w14:anchorId="316C573D">
          <v:shape id="_x0000_i1131" type="#_x0000_t75" style="width:60pt;height:33pt" o:ole="">
            <v:imagedata r:id="rId62" o:title=""/>
          </v:shape>
          <o:OLEObject Type="Embed" ProgID="Equation.DSMT4" ShapeID="_x0000_i1131" DrawAspect="Content" ObjectID="_1783595652" r:id="rId63"/>
        </w:object>
      </w:r>
    </w:p>
    <w:p w14:paraId="00C1F6B8" w14:textId="77777777" w:rsidR="006749A4" w:rsidRDefault="006749A4" w:rsidP="00951096">
      <w:pPr>
        <w:pStyle w:val="NoSpacing"/>
        <w:rPr>
          <w:sz w:val="24"/>
          <w:szCs w:val="24"/>
        </w:rPr>
      </w:pPr>
    </w:p>
    <w:p w14:paraId="5F6EDB1A" w14:textId="64287365" w:rsidR="006749A4" w:rsidRDefault="006749A4" w:rsidP="00951096">
      <w:pPr>
        <w:pStyle w:val="NoSpacing"/>
        <w:rPr>
          <w:sz w:val="24"/>
          <w:szCs w:val="24"/>
        </w:rPr>
      </w:pPr>
      <w:r>
        <w:rPr>
          <w:sz w:val="24"/>
          <w:szCs w:val="24"/>
        </w:rPr>
        <w:t xml:space="preserve">Here’s another thing.  If we apply a torsional torque to a bar, then it will twist.  </w:t>
      </w:r>
    </w:p>
    <w:p w14:paraId="421A3121" w14:textId="77777777" w:rsidR="006749A4" w:rsidRDefault="006749A4" w:rsidP="00951096">
      <w:pPr>
        <w:pStyle w:val="NoSpacing"/>
        <w:rPr>
          <w:sz w:val="24"/>
          <w:szCs w:val="24"/>
        </w:rPr>
      </w:pPr>
    </w:p>
    <w:p w14:paraId="3587DEA0" w14:textId="12DB042F" w:rsidR="008B4AF8" w:rsidRDefault="008B4AF8" w:rsidP="00951096">
      <w:pPr>
        <w:pStyle w:val="NoSpacing"/>
        <w:rPr>
          <w:sz w:val="24"/>
          <w:szCs w:val="24"/>
        </w:rPr>
      </w:pPr>
      <w:r w:rsidRPr="008B4AF8">
        <w:rPr>
          <w:sz w:val="24"/>
          <w:szCs w:val="24"/>
        </w:rPr>
        <w:drawing>
          <wp:inline distT="0" distB="0" distL="0" distR="0" wp14:anchorId="773C3AA4" wp14:editId="36F5F0FA">
            <wp:extent cx="2724150" cy="1549252"/>
            <wp:effectExtent l="0" t="0" r="0" b="0"/>
            <wp:docPr id="8682160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216092" name=""/>
                    <pic:cNvPicPr/>
                  </pic:nvPicPr>
                  <pic:blipFill>
                    <a:blip r:embed="rId64"/>
                    <a:stretch>
                      <a:fillRect/>
                    </a:stretch>
                  </pic:blipFill>
                  <pic:spPr>
                    <a:xfrm>
                      <a:off x="0" y="0"/>
                      <a:ext cx="2733493" cy="1554566"/>
                    </a:xfrm>
                    <a:prstGeom prst="rect">
                      <a:avLst/>
                    </a:prstGeom>
                  </pic:spPr>
                </pic:pic>
              </a:graphicData>
            </a:graphic>
          </wp:inline>
        </w:drawing>
      </w:r>
    </w:p>
    <w:p w14:paraId="26AEBDDB" w14:textId="77777777" w:rsidR="00090426" w:rsidRDefault="00090426" w:rsidP="00951096">
      <w:pPr>
        <w:pStyle w:val="NoSpacing"/>
        <w:rPr>
          <w:sz w:val="24"/>
          <w:szCs w:val="24"/>
        </w:rPr>
      </w:pPr>
    </w:p>
    <w:p w14:paraId="04FD4E67" w14:textId="08E1129A" w:rsidR="00540D30" w:rsidRDefault="006749A4" w:rsidP="00951096">
      <w:pPr>
        <w:pStyle w:val="NoSpacing"/>
        <w:rPr>
          <w:sz w:val="24"/>
          <w:szCs w:val="24"/>
        </w:rPr>
      </w:pPr>
      <w:r>
        <w:rPr>
          <w:sz w:val="24"/>
          <w:szCs w:val="24"/>
        </w:rPr>
        <w:t>The angle it will twist follows a stress-strain equation:</w:t>
      </w:r>
    </w:p>
    <w:p w14:paraId="43641E69" w14:textId="77777777" w:rsidR="00540D30" w:rsidRDefault="00540D30" w:rsidP="00951096">
      <w:pPr>
        <w:pStyle w:val="NoSpacing"/>
        <w:rPr>
          <w:sz w:val="24"/>
          <w:szCs w:val="24"/>
        </w:rPr>
      </w:pPr>
    </w:p>
    <w:p w14:paraId="384860DD" w14:textId="7E9BFB33" w:rsidR="00090426" w:rsidRDefault="006749A4" w:rsidP="00951096">
      <w:pPr>
        <w:pStyle w:val="NoSpacing"/>
        <w:rPr>
          <w:sz w:val="24"/>
          <w:szCs w:val="24"/>
        </w:rPr>
      </w:pPr>
      <w:r w:rsidRPr="00007C89">
        <w:rPr>
          <w:position w:val="-24"/>
          <w:sz w:val="24"/>
          <w:szCs w:val="24"/>
        </w:rPr>
        <w:object w:dxaOrig="5820" w:dyaOrig="620" w14:anchorId="07ADAF24">
          <v:shape id="_x0000_i1107" type="#_x0000_t75" style="width:316.5pt;height:34pt" o:ole="" filled="t" fillcolor="#cfc">
            <v:imagedata r:id="rId65" o:title=""/>
          </v:shape>
          <o:OLEObject Type="Embed" ProgID="Equation.DSMT4" ShapeID="_x0000_i1107" DrawAspect="Content" ObjectID="_1783595653" r:id="rId66"/>
        </w:object>
      </w:r>
    </w:p>
    <w:p w14:paraId="797AEAD2" w14:textId="77777777" w:rsidR="00007C89" w:rsidRDefault="00007C89" w:rsidP="00951096">
      <w:pPr>
        <w:pStyle w:val="NoSpacing"/>
        <w:rPr>
          <w:sz w:val="24"/>
          <w:szCs w:val="24"/>
        </w:rPr>
      </w:pPr>
    </w:p>
    <w:p w14:paraId="65FD0D15" w14:textId="0DD703B5" w:rsidR="00540D30" w:rsidRDefault="006749A4" w:rsidP="00951096">
      <w:pPr>
        <w:pStyle w:val="NoSpacing"/>
        <w:rPr>
          <w:sz w:val="24"/>
          <w:szCs w:val="24"/>
        </w:rPr>
      </w:pPr>
      <w:r>
        <w:rPr>
          <w:sz w:val="24"/>
          <w:szCs w:val="24"/>
        </w:rPr>
        <w:t>J is the polar moment of inertia that quantifies an object’s resistance to twisting.  A pipe with inner and outer radii has the following J:</w:t>
      </w:r>
    </w:p>
    <w:p w14:paraId="69C2DD3F" w14:textId="77777777" w:rsidR="00540D30" w:rsidRDefault="00540D30" w:rsidP="00951096">
      <w:pPr>
        <w:pStyle w:val="NoSpacing"/>
        <w:rPr>
          <w:sz w:val="24"/>
          <w:szCs w:val="24"/>
        </w:rPr>
      </w:pPr>
    </w:p>
    <w:p w14:paraId="72C99CE9" w14:textId="5E1A5E46" w:rsidR="00A770A7" w:rsidRDefault="00A770A7" w:rsidP="00951096">
      <w:pPr>
        <w:pStyle w:val="NoSpacing"/>
        <w:rPr>
          <w:sz w:val="24"/>
          <w:szCs w:val="24"/>
        </w:rPr>
      </w:pPr>
      <w:r w:rsidRPr="00A770A7">
        <w:rPr>
          <w:position w:val="-24"/>
          <w:sz w:val="24"/>
          <w:szCs w:val="24"/>
        </w:rPr>
        <w:object w:dxaOrig="1800" w:dyaOrig="660" w14:anchorId="45F54275">
          <v:shape id="_x0000_i1067" type="#_x0000_t75" style="width:90pt;height:33pt" o:ole="">
            <v:imagedata r:id="rId67" o:title=""/>
          </v:shape>
          <o:OLEObject Type="Embed" ProgID="Equation.DSMT4" ShapeID="_x0000_i1067" DrawAspect="Content" ObjectID="_1783595654" r:id="rId68"/>
        </w:object>
      </w:r>
    </w:p>
    <w:p w14:paraId="6BF783DD" w14:textId="0CB5F852" w:rsidR="00A770A7" w:rsidRDefault="00A770A7" w:rsidP="00951096">
      <w:pPr>
        <w:pStyle w:val="NoSpacing"/>
        <w:rPr>
          <w:sz w:val="24"/>
          <w:szCs w:val="24"/>
        </w:rPr>
      </w:pPr>
    </w:p>
    <w:p w14:paraId="0351C7A6" w14:textId="59D032BD" w:rsidR="006749A4" w:rsidRPr="006749A4" w:rsidRDefault="006749A4" w:rsidP="00951096">
      <w:pPr>
        <w:pStyle w:val="NoSpacing"/>
        <w:rPr>
          <w:b/>
          <w:sz w:val="24"/>
          <w:szCs w:val="24"/>
        </w:rPr>
      </w:pPr>
      <w:r w:rsidRPr="006749A4">
        <w:rPr>
          <w:b/>
          <w:sz w:val="24"/>
          <w:szCs w:val="24"/>
        </w:rPr>
        <w:t>Example</w:t>
      </w:r>
    </w:p>
    <w:p w14:paraId="1F6282A1" w14:textId="72B4A877" w:rsidR="006749A4" w:rsidRDefault="006749A4" w:rsidP="00951096">
      <w:pPr>
        <w:pStyle w:val="NoSpacing"/>
        <w:rPr>
          <w:sz w:val="24"/>
          <w:szCs w:val="24"/>
        </w:rPr>
      </w:pPr>
      <w:r w:rsidRPr="006749A4">
        <w:rPr>
          <w:sz w:val="24"/>
          <w:szCs w:val="24"/>
        </w:rPr>
        <w:lastRenderedPageBreak/>
        <w:t>A backyard scientist was working on a design for a novel heat exchanger, and was testing the properties of a coolant pipe he designed. The test pipe was cast in a bronzal alloy the scientist was investigating. The scientist tested the alloy, finding it had a modulus of elasticity of 113 GPa and a Poisson's ratio of 0.34.</w:t>
      </w:r>
      <w:r>
        <w:rPr>
          <w:sz w:val="24"/>
          <w:szCs w:val="24"/>
        </w:rPr>
        <w:t xml:space="preserve">  </w:t>
      </w:r>
      <w:r w:rsidRPr="006749A4">
        <w:rPr>
          <w:sz w:val="24"/>
          <w:szCs w:val="24"/>
        </w:rPr>
        <w:t>After casting, the pipe was polished inside and out, and was placed in a test apparatus as shown in Figure 1. One end of the pipe was fixed to a plate as shown in the above diagram, and the other end was subjected to a torque of 100,000 N-m. Assume that the fixture plate did not measurably deform during the test. Which of the following values most closely matches the twist the scientist observed in the test pipe?</w:t>
      </w:r>
    </w:p>
    <w:p w14:paraId="4BD4A74A" w14:textId="77777777" w:rsidR="006749A4" w:rsidRDefault="006749A4" w:rsidP="00951096">
      <w:pPr>
        <w:pStyle w:val="NoSpacing"/>
        <w:rPr>
          <w:sz w:val="24"/>
          <w:szCs w:val="24"/>
        </w:rPr>
      </w:pPr>
    </w:p>
    <w:p w14:paraId="4F78AC63" w14:textId="3EE30965" w:rsidR="006749A4" w:rsidRDefault="006749A4" w:rsidP="00951096">
      <w:pPr>
        <w:pStyle w:val="NoSpacing"/>
        <w:rPr>
          <w:sz w:val="24"/>
          <w:szCs w:val="24"/>
        </w:rPr>
      </w:pPr>
      <w:r w:rsidRPr="006749A4">
        <w:rPr>
          <w:sz w:val="24"/>
          <w:szCs w:val="24"/>
        </w:rPr>
        <w:drawing>
          <wp:inline distT="0" distB="0" distL="0" distR="0" wp14:anchorId="26EC4235" wp14:editId="38CD7120">
            <wp:extent cx="3168650" cy="1565706"/>
            <wp:effectExtent l="0" t="0" r="0" b="0"/>
            <wp:docPr id="12614193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419394" name=""/>
                    <pic:cNvPicPr/>
                  </pic:nvPicPr>
                  <pic:blipFill>
                    <a:blip r:embed="rId69"/>
                    <a:stretch>
                      <a:fillRect/>
                    </a:stretch>
                  </pic:blipFill>
                  <pic:spPr>
                    <a:xfrm>
                      <a:off x="0" y="0"/>
                      <a:ext cx="3185901" cy="1574230"/>
                    </a:xfrm>
                    <a:prstGeom prst="rect">
                      <a:avLst/>
                    </a:prstGeom>
                  </pic:spPr>
                </pic:pic>
              </a:graphicData>
            </a:graphic>
          </wp:inline>
        </w:drawing>
      </w:r>
    </w:p>
    <w:p w14:paraId="2332B494" w14:textId="77777777" w:rsidR="006749A4" w:rsidRDefault="006749A4" w:rsidP="00951096">
      <w:pPr>
        <w:pStyle w:val="NoSpacing"/>
        <w:rPr>
          <w:sz w:val="24"/>
          <w:szCs w:val="24"/>
        </w:rPr>
      </w:pPr>
    </w:p>
    <w:p w14:paraId="22A97D73" w14:textId="25EB480F" w:rsidR="006749A4" w:rsidRDefault="006749A4" w:rsidP="00951096">
      <w:pPr>
        <w:pStyle w:val="NoSpacing"/>
        <w:rPr>
          <w:sz w:val="24"/>
          <w:szCs w:val="24"/>
        </w:rPr>
      </w:pPr>
      <w:r>
        <w:rPr>
          <w:sz w:val="24"/>
          <w:szCs w:val="24"/>
        </w:rPr>
        <w:t>So,</w:t>
      </w:r>
    </w:p>
    <w:p w14:paraId="5DAC56E2" w14:textId="77777777" w:rsidR="006749A4" w:rsidRDefault="006749A4" w:rsidP="00951096">
      <w:pPr>
        <w:pStyle w:val="NoSpacing"/>
        <w:rPr>
          <w:sz w:val="24"/>
          <w:szCs w:val="24"/>
        </w:rPr>
      </w:pPr>
    </w:p>
    <w:p w14:paraId="5E5456E0" w14:textId="3954E0A3" w:rsidR="006749A4" w:rsidRDefault="00A17EE9" w:rsidP="00951096">
      <w:pPr>
        <w:pStyle w:val="NoSpacing"/>
      </w:pPr>
      <w:r w:rsidRPr="006749A4">
        <w:rPr>
          <w:position w:val="-58"/>
        </w:rPr>
        <w:object w:dxaOrig="1020" w:dyaOrig="1280" w14:anchorId="26C82C51">
          <v:shape id="_x0000_i1121" type="#_x0000_t75" style="width:51pt;height:64pt" o:ole="">
            <v:imagedata r:id="rId70" o:title=""/>
          </v:shape>
          <o:OLEObject Type="Embed" ProgID="Equation.DSMT4" ShapeID="_x0000_i1121" DrawAspect="Content" ObjectID="_1783595655" r:id="rId71"/>
        </w:object>
      </w:r>
    </w:p>
    <w:p w14:paraId="2AEB3B8A" w14:textId="77777777" w:rsidR="006749A4" w:rsidRDefault="006749A4" w:rsidP="00951096">
      <w:pPr>
        <w:pStyle w:val="NoSpacing"/>
      </w:pPr>
    </w:p>
    <w:p w14:paraId="4F23E8BD" w14:textId="5F21CC92" w:rsidR="006749A4" w:rsidRDefault="006749A4" w:rsidP="00951096">
      <w:pPr>
        <w:pStyle w:val="NoSpacing"/>
        <w:rPr>
          <w:sz w:val="24"/>
          <w:szCs w:val="24"/>
        </w:rPr>
      </w:pPr>
      <w:r>
        <w:rPr>
          <w:sz w:val="24"/>
          <w:szCs w:val="24"/>
        </w:rPr>
        <w:t>Filling in the values,</w:t>
      </w:r>
    </w:p>
    <w:p w14:paraId="789B7B40" w14:textId="77777777" w:rsidR="006749A4" w:rsidRDefault="006749A4" w:rsidP="00951096">
      <w:pPr>
        <w:pStyle w:val="NoSpacing"/>
        <w:rPr>
          <w:sz w:val="24"/>
          <w:szCs w:val="24"/>
        </w:rPr>
      </w:pPr>
    </w:p>
    <w:p w14:paraId="48CFFEA2" w14:textId="2D1BCAD9" w:rsidR="00A17EE9" w:rsidRDefault="004F385B" w:rsidP="00951096">
      <w:pPr>
        <w:pStyle w:val="NoSpacing"/>
        <w:rPr>
          <w:sz w:val="24"/>
          <w:szCs w:val="24"/>
        </w:rPr>
      </w:pPr>
      <w:r w:rsidRPr="00A17EE9">
        <w:rPr>
          <w:position w:val="-62"/>
          <w:sz w:val="24"/>
          <w:szCs w:val="24"/>
        </w:rPr>
        <w:object w:dxaOrig="5400" w:dyaOrig="1359" w14:anchorId="20AB3806">
          <v:shape id="_x0000_i1137" type="#_x0000_t75" style="width:270pt;height:68pt" o:ole="">
            <v:imagedata r:id="rId72" o:title=""/>
          </v:shape>
          <o:OLEObject Type="Embed" ProgID="Equation.DSMT4" ShapeID="_x0000_i1137" DrawAspect="Content" ObjectID="_1783595656" r:id="rId73"/>
        </w:object>
      </w:r>
    </w:p>
    <w:p w14:paraId="0CFEA922" w14:textId="58DA4683" w:rsidR="006749A4" w:rsidRDefault="006749A4" w:rsidP="00951096">
      <w:pPr>
        <w:pStyle w:val="NoSpacing"/>
        <w:rPr>
          <w:sz w:val="24"/>
          <w:szCs w:val="24"/>
        </w:rPr>
      </w:pPr>
    </w:p>
    <w:p w14:paraId="3752194D" w14:textId="6A71A9ED" w:rsidR="00A17EE9" w:rsidRDefault="00A17EE9" w:rsidP="00951096">
      <w:pPr>
        <w:pStyle w:val="NoSpacing"/>
        <w:rPr>
          <w:sz w:val="24"/>
          <w:szCs w:val="24"/>
        </w:rPr>
      </w:pPr>
      <w:r>
        <w:rPr>
          <w:sz w:val="24"/>
          <w:szCs w:val="24"/>
        </w:rPr>
        <w:t>We get:</w:t>
      </w:r>
    </w:p>
    <w:p w14:paraId="40AF7F09" w14:textId="77777777" w:rsidR="00A17EE9" w:rsidRDefault="00A17EE9" w:rsidP="00951096">
      <w:pPr>
        <w:pStyle w:val="NoSpacing"/>
        <w:rPr>
          <w:sz w:val="24"/>
          <w:szCs w:val="24"/>
        </w:rPr>
      </w:pPr>
    </w:p>
    <w:p w14:paraId="27AF5275" w14:textId="02BA8917" w:rsidR="00A17EE9" w:rsidRDefault="004F385B" w:rsidP="00951096">
      <w:pPr>
        <w:pStyle w:val="NoSpacing"/>
      </w:pPr>
      <w:r w:rsidRPr="00A17EE9">
        <w:rPr>
          <w:position w:val="-48"/>
        </w:rPr>
        <w:object w:dxaOrig="3340" w:dyaOrig="1080" w14:anchorId="0BFB0DDA">
          <v:shape id="_x0000_i1139" type="#_x0000_t75" style="width:167pt;height:54pt" o:ole="">
            <v:imagedata r:id="rId74" o:title=""/>
          </v:shape>
          <o:OLEObject Type="Embed" ProgID="Equation.DSMT4" ShapeID="_x0000_i1139" DrawAspect="Content" ObjectID="_1783595657" r:id="rId75"/>
        </w:object>
      </w:r>
    </w:p>
    <w:p w14:paraId="4F8B5F54" w14:textId="77777777" w:rsidR="00A17EE9" w:rsidRDefault="00A17EE9" w:rsidP="00951096">
      <w:pPr>
        <w:pStyle w:val="NoSpacing"/>
      </w:pPr>
    </w:p>
    <w:p w14:paraId="729D31D8" w14:textId="77777777" w:rsidR="00A17EE9" w:rsidRPr="00090426" w:rsidRDefault="00A17EE9" w:rsidP="00951096">
      <w:pPr>
        <w:pStyle w:val="NoSpacing"/>
        <w:rPr>
          <w:sz w:val="24"/>
          <w:szCs w:val="24"/>
        </w:rPr>
      </w:pPr>
    </w:p>
    <w:sectPr w:rsidR="00A17EE9" w:rsidRPr="000904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4DB2"/>
    <w:rsid w:val="000057FF"/>
    <w:rsid w:val="000060D5"/>
    <w:rsid w:val="000067FE"/>
    <w:rsid w:val="00006812"/>
    <w:rsid w:val="0000735B"/>
    <w:rsid w:val="0000761A"/>
    <w:rsid w:val="00007AE7"/>
    <w:rsid w:val="00007C89"/>
    <w:rsid w:val="0001029C"/>
    <w:rsid w:val="0001065D"/>
    <w:rsid w:val="00010FF4"/>
    <w:rsid w:val="00011FED"/>
    <w:rsid w:val="00012F68"/>
    <w:rsid w:val="0001367E"/>
    <w:rsid w:val="00013CFB"/>
    <w:rsid w:val="00013DD9"/>
    <w:rsid w:val="0001411A"/>
    <w:rsid w:val="000141B2"/>
    <w:rsid w:val="00014352"/>
    <w:rsid w:val="0001436E"/>
    <w:rsid w:val="00014766"/>
    <w:rsid w:val="000151F4"/>
    <w:rsid w:val="0001546A"/>
    <w:rsid w:val="00015483"/>
    <w:rsid w:val="000160F4"/>
    <w:rsid w:val="000161E8"/>
    <w:rsid w:val="00016CAA"/>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85"/>
    <w:rsid w:val="00031AAA"/>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1FBD"/>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C3B"/>
    <w:rsid w:val="00050D60"/>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91A"/>
    <w:rsid w:val="00057E52"/>
    <w:rsid w:val="00057F6A"/>
    <w:rsid w:val="00060BB3"/>
    <w:rsid w:val="00061067"/>
    <w:rsid w:val="0006233C"/>
    <w:rsid w:val="00062455"/>
    <w:rsid w:val="000625E6"/>
    <w:rsid w:val="00063611"/>
    <w:rsid w:val="000638A1"/>
    <w:rsid w:val="00064203"/>
    <w:rsid w:val="00064619"/>
    <w:rsid w:val="0006481A"/>
    <w:rsid w:val="000649DE"/>
    <w:rsid w:val="00064C39"/>
    <w:rsid w:val="00065F52"/>
    <w:rsid w:val="00066817"/>
    <w:rsid w:val="00066B4C"/>
    <w:rsid w:val="00066BE0"/>
    <w:rsid w:val="00066E38"/>
    <w:rsid w:val="00066FB7"/>
    <w:rsid w:val="00067BD9"/>
    <w:rsid w:val="00067ED5"/>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426"/>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175"/>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A7A58"/>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2DE"/>
    <w:rsid w:val="000B6432"/>
    <w:rsid w:val="000B6A55"/>
    <w:rsid w:val="000B6F90"/>
    <w:rsid w:val="000C0C64"/>
    <w:rsid w:val="000C1418"/>
    <w:rsid w:val="000C1D70"/>
    <w:rsid w:val="000C205D"/>
    <w:rsid w:val="000C244B"/>
    <w:rsid w:val="000C2526"/>
    <w:rsid w:val="000C26B8"/>
    <w:rsid w:val="000C2779"/>
    <w:rsid w:val="000C41A0"/>
    <w:rsid w:val="000C4923"/>
    <w:rsid w:val="000C4B1B"/>
    <w:rsid w:val="000C512B"/>
    <w:rsid w:val="000C5F48"/>
    <w:rsid w:val="000C60A2"/>
    <w:rsid w:val="000C67CA"/>
    <w:rsid w:val="000C6EF1"/>
    <w:rsid w:val="000C7340"/>
    <w:rsid w:val="000C738C"/>
    <w:rsid w:val="000D0562"/>
    <w:rsid w:val="000D0C9C"/>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5D7E"/>
    <w:rsid w:val="000E5E56"/>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100515"/>
    <w:rsid w:val="001006CA"/>
    <w:rsid w:val="00100D25"/>
    <w:rsid w:val="00100E46"/>
    <w:rsid w:val="00103300"/>
    <w:rsid w:val="00103BA8"/>
    <w:rsid w:val="00103EB8"/>
    <w:rsid w:val="001044A0"/>
    <w:rsid w:val="001048B3"/>
    <w:rsid w:val="00104D8D"/>
    <w:rsid w:val="0010580E"/>
    <w:rsid w:val="00105B0D"/>
    <w:rsid w:val="00106C02"/>
    <w:rsid w:val="00106CEF"/>
    <w:rsid w:val="00107033"/>
    <w:rsid w:val="001074BB"/>
    <w:rsid w:val="00107552"/>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C19"/>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3F11"/>
    <w:rsid w:val="0013480A"/>
    <w:rsid w:val="001349FE"/>
    <w:rsid w:val="0013507E"/>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08"/>
    <w:rsid w:val="00152186"/>
    <w:rsid w:val="00152524"/>
    <w:rsid w:val="00153728"/>
    <w:rsid w:val="001539D9"/>
    <w:rsid w:val="00153E36"/>
    <w:rsid w:val="00153E68"/>
    <w:rsid w:val="001545B3"/>
    <w:rsid w:val="00154689"/>
    <w:rsid w:val="00155AE6"/>
    <w:rsid w:val="00155F12"/>
    <w:rsid w:val="00156DE5"/>
    <w:rsid w:val="001576F6"/>
    <w:rsid w:val="00157D61"/>
    <w:rsid w:val="00157E1A"/>
    <w:rsid w:val="001600D6"/>
    <w:rsid w:val="001601FA"/>
    <w:rsid w:val="00161383"/>
    <w:rsid w:val="00162322"/>
    <w:rsid w:val="00162AAF"/>
    <w:rsid w:val="00162C4A"/>
    <w:rsid w:val="001631A8"/>
    <w:rsid w:val="0016340B"/>
    <w:rsid w:val="0016356E"/>
    <w:rsid w:val="00163AD3"/>
    <w:rsid w:val="00163F50"/>
    <w:rsid w:val="00164451"/>
    <w:rsid w:val="00164603"/>
    <w:rsid w:val="00164C6B"/>
    <w:rsid w:val="001652CB"/>
    <w:rsid w:val="0016534D"/>
    <w:rsid w:val="00165B30"/>
    <w:rsid w:val="00166631"/>
    <w:rsid w:val="00166B3B"/>
    <w:rsid w:val="00166FD0"/>
    <w:rsid w:val="0016736B"/>
    <w:rsid w:val="00170CE5"/>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982"/>
    <w:rsid w:val="00180A7A"/>
    <w:rsid w:val="00180C37"/>
    <w:rsid w:val="001811EE"/>
    <w:rsid w:val="00181241"/>
    <w:rsid w:val="0018170B"/>
    <w:rsid w:val="00181836"/>
    <w:rsid w:val="0018218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A60"/>
    <w:rsid w:val="00192CED"/>
    <w:rsid w:val="00192DAA"/>
    <w:rsid w:val="00194931"/>
    <w:rsid w:val="00194A43"/>
    <w:rsid w:val="00194BB7"/>
    <w:rsid w:val="00194D06"/>
    <w:rsid w:val="0019531A"/>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EFA"/>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795"/>
    <w:rsid w:val="001C1CE8"/>
    <w:rsid w:val="001C2D85"/>
    <w:rsid w:val="001C306A"/>
    <w:rsid w:val="001C30A5"/>
    <w:rsid w:val="001C332B"/>
    <w:rsid w:val="001C3915"/>
    <w:rsid w:val="001C3E61"/>
    <w:rsid w:val="001C4607"/>
    <w:rsid w:val="001C46ED"/>
    <w:rsid w:val="001C474A"/>
    <w:rsid w:val="001C4962"/>
    <w:rsid w:val="001C545D"/>
    <w:rsid w:val="001C5CA0"/>
    <w:rsid w:val="001C5D9D"/>
    <w:rsid w:val="001C6312"/>
    <w:rsid w:val="001C65EE"/>
    <w:rsid w:val="001C6E59"/>
    <w:rsid w:val="001C7257"/>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20010E"/>
    <w:rsid w:val="00200CC0"/>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B04"/>
    <w:rsid w:val="00206CB0"/>
    <w:rsid w:val="00206FFF"/>
    <w:rsid w:val="00207524"/>
    <w:rsid w:val="00207949"/>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9C4"/>
    <w:rsid w:val="00216DAB"/>
    <w:rsid w:val="00216ED3"/>
    <w:rsid w:val="00217428"/>
    <w:rsid w:val="00217845"/>
    <w:rsid w:val="00217864"/>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238"/>
    <w:rsid w:val="00231405"/>
    <w:rsid w:val="00231A10"/>
    <w:rsid w:val="00231C17"/>
    <w:rsid w:val="002321E4"/>
    <w:rsid w:val="00232FE1"/>
    <w:rsid w:val="00233895"/>
    <w:rsid w:val="00233933"/>
    <w:rsid w:val="00234B5F"/>
    <w:rsid w:val="00234CDF"/>
    <w:rsid w:val="00235834"/>
    <w:rsid w:val="00235867"/>
    <w:rsid w:val="00236351"/>
    <w:rsid w:val="002366D2"/>
    <w:rsid w:val="00236C37"/>
    <w:rsid w:val="00237108"/>
    <w:rsid w:val="0023728A"/>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4C6"/>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4C3D"/>
    <w:rsid w:val="00255009"/>
    <w:rsid w:val="0025514A"/>
    <w:rsid w:val="002555CC"/>
    <w:rsid w:val="00255FA7"/>
    <w:rsid w:val="00256330"/>
    <w:rsid w:val="00256881"/>
    <w:rsid w:val="002577BE"/>
    <w:rsid w:val="00257F4F"/>
    <w:rsid w:val="00260750"/>
    <w:rsid w:val="00260A23"/>
    <w:rsid w:val="00260E89"/>
    <w:rsid w:val="00261FED"/>
    <w:rsid w:val="0026260C"/>
    <w:rsid w:val="00262676"/>
    <w:rsid w:val="00262B77"/>
    <w:rsid w:val="00262D60"/>
    <w:rsid w:val="00263284"/>
    <w:rsid w:val="00263ACF"/>
    <w:rsid w:val="0026401B"/>
    <w:rsid w:val="00264155"/>
    <w:rsid w:val="00264318"/>
    <w:rsid w:val="00264744"/>
    <w:rsid w:val="002649AD"/>
    <w:rsid w:val="00264E31"/>
    <w:rsid w:val="0026525D"/>
    <w:rsid w:val="002659EF"/>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25EB"/>
    <w:rsid w:val="002829EA"/>
    <w:rsid w:val="00282DB1"/>
    <w:rsid w:val="002830F7"/>
    <w:rsid w:val="002833D8"/>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6BC3"/>
    <w:rsid w:val="0029726B"/>
    <w:rsid w:val="00297C7A"/>
    <w:rsid w:val="002A028A"/>
    <w:rsid w:val="002A16A0"/>
    <w:rsid w:val="002A1B8A"/>
    <w:rsid w:val="002A2019"/>
    <w:rsid w:val="002A2263"/>
    <w:rsid w:val="002A27D8"/>
    <w:rsid w:val="002A2F8E"/>
    <w:rsid w:val="002A3D59"/>
    <w:rsid w:val="002A3D76"/>
    <w:rsid w:val="002A40BD"/>
    <w:rsid w:val="002A53A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529"/>
    <w:rsid w:val="002B55C6"/>
    <w:rsid w:val="002B5666"/>
    <w:rsid w:val="002B57BE"/>
    <w:rsid w:val="002B66D3"/>
    <w:rsid w:val="002B79DC"/>
    <w:rsid w:val="002C0A88"/>
    <w:rsid w:val="002C15CA"/>
    <w:rsid w:val="002C16D9"/>
    <w:rsid w:val="002C2132"/>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D7D47"/>
    <w:rsid w:val="002E07A8"/>
    <w:rsid w:val="002E0D36"/>
    <w:rsid w:val="002E1152"/>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8D"/>
    <w:rsid w:val="002F0CAB"/>
    <w:rsid w:val="002F0FFF"/>
    <w:rsid w:val="002F1148"/>
    <w:rsid w:val="002F120A"/>
    <w:rsid w:val="002F13BC"/>
    <w:rsid w:val="002F140E"/>
    <w:rsid w:val="002F1424"/>
    <w:rsid w:val="002F1579"/>
    <w:rsid w:val="002F2538"/>
    <w:rsid w:val="002F2575"/>
    <w:rsid w:val="002F2D10"/>
    <w:rsid w:val="002F307C"/>
    <w:rsid w:val="002F3F2C"/>
    <w:rsid w:val="002F40D1"/>
    <w:rsid w:val="002F511E"/>
    <w:rsid w:val="002F548F"/>
    <w:rsid w:val="002F5EDE"/>
    <w:rsid w:val="002F6097"/>
    <w:rsid w:val="002F68B1"/>
    <w:rsid w:val="002F6DC8"/>
    <w:rsid w:val="002F72BC"/>
    <w:rsid w:val="00300366"/>
    <w:rsid w:val="00300EF0"/>
    <w:rsid w:val="0030122D"/>
    <w:rsid w:val="003012D1"/>
    <w:rsid w:val="00302244"/>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1D20"/>
    <w:rsid w:val="00312130"/>
    <w:rsid w:val="003121E7"/>
    <w:rsid w:val="00312890"/>
    <w:rsid w:val="00312ABD"/>
    <w:rsid w:val="00312C38"/>
    <w:rsid w:val="00313764"/>
    <w:rsid w:val="00313B17"/>
    <w:rsid w:val="00314E02"/>
    <w:rsid w:val="00315318"/>
    <w:rsid w:val="00315859"/>
    <w:rsid w:val="00316129"/>
    <w:rsid w:val="003165EF"/>
    <w:rsid w:val="00316D73"/>
    <w:rsid w:val="0031744B"/>
    <w:rsid w:val="00317A02"/>
    <w:rsid w:val="00320074"/>
    <w:rsid w:val="00320212"/>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7077"/>
    <w:rsid w:val="00327D59"/>
    <w:rsid w:val="0033034F"/>
    <w:rsid w:val="00330503"/>
    <w:rsid w:val="00330575"/>
    <w:rsid w:val="003309F5"/>
    <w:rsid w:val="00330D14"/>
    <w:rsid w:val="003311BE"/>
    <w:rsid w:val="003314D0"/>
    <w:rsid w:val="0033184C"/>
    <w:rsid w:val="003318AC"/>
    <w:rsid w:val="00331B62"/>
    <w:rsid w:val="0033202D"/>
    <w:rsid w:val="003320CC"/>
    <w:rsid w:val="00332263"/>
    <w:rsid w:val="00332653"/>
    <w:rsid w:val="00332D6A"/>
    <w:rsid w:val="00334120"/>
    <w:rsid w:val="00334207"/>
    <w:rsid w:val="0033471A"/>
    <w:rsid w:val="003349EA"/>
    <w:rsid w:val="00334F5B"/>
    <w:rsid w:val="003354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4841"/>
    <w:rsid w:val="00345256"/>
    <w:rsid w:val="003456AC"/>
    <w:rsid w:val="00345725"/>
    <w:rsid w:val="00345880"/>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AD4"/>
    <w:rsid w:val="00353B4D"/>
    <w:rsid w:val="00353BFA"/>
    <w:rsid w:val="00354380"/>
    <w:rsid w:val="003578BE"/>
    <w:rsid w:val="00360430"/>
    <w:rsid w:val="0036058B"/>
    <w:rsid w:val="003605F3"/>
    <w:rsid w:val="003606D3"/>
    <w:rsid w:val="0036076D"/>
    <w:rsid w:val="00360D05"/>
    <w:rsid w:val="00360E7F"/>
    <w:rsid w:val="00361FB6"/>
    <w:rsid w:val="00362EB4"/>
    <w:rsid w:val="003631B8"/>
    <w:rsid w:val="003635F7"/>
    <w:rsid w:val="00363739"/>
    <w:rsid w:val="00363931"/>
    <w:rsid w:val="00363A2C"/>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07B"/>
    <w:rsid w:val="003701E5"/>
    <w:rsid w:val="0037052F"/>
    <w:rsid w:val="003705D2"/>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77015"/>
    <w:rsid w:val="00380097"/>
    <w:rsid w:val="00380150"/>
    <w:rsid w:val="003802BE"/>
    <w:rsid w:val="00380673"/>
    <w:rsid w:val="00380F66"/>
    <w:rsid w:val="0038126B"/>
    <w:rsid w:val="00381841"/>
    <w:rsid w:val="00381A60"/>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666"/>
    <w:rsid w:val="00396B77"/>
    <w:rsid w:val="00396C38"/>
    <w:rsid w:val="00397270"/>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6AF"/>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B6C"/>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479"/>
    <w:rsid w:val="003D09E9"/>
    <w:rsid w:val="003D1831"/>
    <w:rsid w:val="003D20AF"/>
    <w:rsid w:val="003D2277"/>
    <w:rsid w:val="003D25DC"/>
    <w:rsid w:val="003D2BEB"/>
    <w:rsid w:val="003D2D35"/>
    <w:rsid w:val="003D2F57"/>
    <w:rsid w:val="003D39E5"/>
    <w:rsid w:val="003D3AAB"/>
    <w:rsid w:val="003D3B74"/>
    <w:rsid w:val="003D3C01"/>
    <w:rsid w:val="003D41CB"/>
    <w:rsid w:val="003D4B05"/>
    <w:rsid w:val="003D4EBE"/>
    <w:rsid w:val="003D6083"/>
    <w:rsid w:val="003D673F"/>
    <w:rsid w:val="003D6EBD"/>
    <w:rsid w:val="003D6F40"/>
    <w:rsid w:val="003D7B22"/>
    <w:rsid w:val="003E000B"/>
    <w:rsid w:val="003E130F"/>
    <w:rsid w:val="003E1EFA"/>
    <w:rsid w:val="003E2DC3"/>
    <w:rsid w:val="003E2FE8"/>
    <w:rsid w:val="003E30B1"/>
    <w:rsid w:val="003E35F5"/>
    <w:rsid w:val="003E3CCE"/>
    <w:rsid w:val="003E458A"/>
    <w:rsid w:val="003E49AF"/>
    <w:rsid w:val="003E4C59"/>
    <w:rsid w:val="003E4FDF"/>
    <w:rsid w:val="003E531D"/>
    <w:rsid w:val="003E57A0"/>
    <w:rsid w:val="003E5B94"/>
    <w:rsid w:val="003E5DF9"/>
    <w:rsid w:val="003E7184"/>
    <w:rsid w:val="003F0564"/>
    <w:rsid w:val="003F0687"/>
    <w:rsid w:val="003F092B"/>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3600"/>
    <w:rsid w:val="00404BAF"/>
    <w:rsid w:val="00404E14"/>
    <w:rsid w:val="00405F4B"/>
    <w:rsid w:val="004062A5"/>
    <w:rsid w:val="00406BB7"/>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30B"/>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B8B"/>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1E9"/>
    <w:rsid w:val="0044774A"/>
    <w:rsid w:val="00447F58"/>
    <w:rsid w:val="00450787"/>
    <w:rsid w:val="00450BD2"/>
    <w:rsid w:val="0045131D"/>
    <w:rsid w:val="004515DC"/>
    <w:rsid w:val="004523B0"/>
    <w:rsid w:val="00452C9F"/>
    <w:rsid w:val="00452FB1"/>
    <w:rsid w:val="0045394D"/>
    <w:rsid w:val="00453979"/>
    <w:rsid w:val="00453AC7"/>
    <w:rsid w:val="00453C0E"/>
    <w:rsid w:val="00454064"/>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BBA"/>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6D"/>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90022"/>
    <w:rsid w:val="00491BD6"/>
    <w:rsid w:val="00491F97"/>
    <w:rsid w:val="004921C9"/>
    <w:rsid w:val="00492B46"/>
    <w:rsid w:val="00492D39"/>
    <w:rsid w:val="00494942"/>
    <w:rsid w:val="00494A16"/>
    <w:rsid w:val="00495CFD"/>
    <w:rsid w:val="004961E2"/>
    <w:rsid w:val="004962B7"/>
    <w:rsid w:val="004962C3"/>
    <w:rsid w:val="004969F2"/>
    <w:rsid w:val="00496A6E"/>
    <w:rsid w:val="0049731B"/>
    <w:rsid w:val="0049771F"/>
    <w:rsid w:val="00497882"/>
    <w:rsid w:val="00497BFE"/>
    <w:rsid w:val="004A1046"/>
    <w:rsid w:val="004A2001"/>
    <w:rsid w:val="004A2F4D"/>
    <w:rsid w:val="004A2F7F"/>
    <w:rsid w:val="004A2F9C"/>
    <w:rsid w:val="004A3053"/>
    <w:rsid w:val="004A32EA"/>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5999"/>
    <w:rsid w:val="004B63B5"/>
    <w:rsid w:val="004B7162"/>
    <w:rsid w:val="004C0849"/>
    <w:rsid w:val="004C0DEB"/>
    <w:rsid w:val="004C0DFE"/>
    <w:rsid w:val="004C10A0"/>
    <w:rsid w:val="004C125F"/>
    <w:rsid w:val="004C180A"/>
    <w:rsid w:val="004C1E5C"/>
    <w:rsid w:val="004C26AB"/>
    <w:rsid w:val="004C4C42"/>
    <w:rsid w:val="004C525A"/>
    <w:rsid w:val="004C54D9"/>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4BC7"/>
    <w:rsid w:val="004D531B"/>
    <w:rsid w:val="004D5CA2"/>
    <w:rsid w:val="004D6160"/>
    <w:rsid w:val="004D6358"/>
    <w:rsid w:val="004D6997"/>
    <w:rsid w:val="004D6D77"/>
    <w:rsid w:val="004D7AB8"/>
    <w:rsid w:val="004E05C0"/>
    <w:rsid w:val="004E175C"/>
    <w:rsid w:val="004E1BE1"/>
    <w:rsid w:val="004E1D26"/>
    <w:rsid w:val="004E1E0A"/>
    <w:rsid w:val="004E2428"/>
    <w:rsid w:val="004E2F2C"/>
    <w:rsid w:val="004E3C22"/>
    <w:rsid w:val="004E3E08"/>
    <w:rsid w:val="004E47E4"/>
    <w:rsid w:val="004E4949"/>
    <w:rsid w:val="004E4995"/>
    <w:rsid w:val="004E5BE7"/>
    <w:rsid w:val="004E5CAB"/>
    <w:rsid w:val="004E600E"/>
    <w:rsid w:val="004E604C"/>
    <w:rsid w:val="004E60B5"/>
    <w:rsid w:val="004E64AA"/>
    <w:rsid w:val="004E6757"/>
    <w:rsid w:val="004E6E9C"/>
    <w:rsid w:val="004F01DA"/>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118"/>
    <w:rsid w:val="004F3437"/>
    <w:rsid w:val="004F3614"/>
    <w:rsid w:val="004F385B"/>
    <w:rsid w:val="004F3B1D"/>
    <w:rsid w:val="004F46B7"/>
    <w:rsid w:val="004F48E1"/>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043"/>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3D15"/>
    <w:rsid w:val="00513F62"/>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A4A"/>
    <w:rsid w:val="00523630"/>
    <w:rsid w:val="00523725"/>
    <w:rsid w:val="00523BD9"/>
    <w:rsid w:val="00523FB2"/>
    <w:rsid w:val="0052475D"/>
    <w:rsid w:val="00524980"/>
    <w:rsid w:val="00524D34"/>
    <w:rsid w:val="00525823"/>
    <w:rsid w:val="00526E25"/>
    <w:rsid w:val="005300DC"/>
    <w:rsid w:val="00530ADB"/>
    <w:rsid w:val="005310F2"/>
    <w:rsid w:val="00531BD6"/>
    <w:rsid w:val="00532B2D"/>
    <w:rsid w:val="00532B91"/>
    <w:rsid w:val="00532E76"/>
    <w:rsid w:val="00532F39"/>
    <w:rsid w:val="00533262"/>
    <w:rsid w:val="005334EA"/>
    <w:rsid w:val="005337AD"/>
    <w:rsid w:val="00533C3C"/>
    <w:rsid w:val="00534E26"/>
    <w:rsid w:val="00534F19"/>
    <w:rsid w:val="00535363"/>
    <w:rsid w:val="0053542D"/>
    <w:rsid w:val="00536125"/>
    <w:rsid w:val="00536FD0"/>
    <w:rsid w:val="00537538"/>
    <w:rsid w:val="00537832"/>
    <w:rsid w:val="00537A63"/>
    <w:rsid w:val="00537CC1"/>
    <w:rsid w:val="00540088"/>
    <w:rsid w:val="00540D30"/>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7F5"/>
    <w:rsid w:val="00561943"/>
    <w:rsid w:val="0056209F"/>
    <w:rsid w:val="00562702"/>
    <w:rsid w:val="00562F14"/>
    <w:rsid w:val="00563220"/>
    <w:rsid w:val="0056323B"/>
    <w:rsid w:val="00563D99"/>
    <w:rsid w:val="00563E88"/>
    <w:rsid w:val="0056414B"/>
    <w:rsid w:val="005644F9"/>
    <w:rsid w:val="00564786"/>
    <w:rsid w:val="00565180"/>
    <w:rsid w:val="005652E5"/>
    <w:rsid w:val="005657B2"/>
    <w:rsid w:val="005665AA"/>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2FE7"/>
    <w:rsid w:val="005736B7"/>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3F2F"/>
    <w:rsid w:val="0059414B"/>
    <w:rsid w:val="00595AC0"/>
    <w:rsid w:val="00595AC7"/>
    <w:rsid w:val="00595B00"/>
    <w:rsid w:val="00595FAE"/>
    <w:rsid w:val="005962D9"/>
    <w:rsid w:val="0059644C"/>
    <w:rsid w:val="005969E7"/>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6D64"/>
    <w:rsid w:val="005A7699"/>
    <w:rsid w:val="005A76CB"/>
    <w:rsid w:val="005A7C2E"/>
    <w:rsid w:val="005B1350"/>
    <w:rsid w:val="005B16D8"/>
    <w:rsid w:val="005B1C4E"/>
    <w:rsid w:val="005B1F5B"/>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0E0"/>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63A7"/>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49A"/>
    <w:rsid w:val="005F7609"/>
    <w:rsid w:val="005F79FF"/>
    <w:rsid w:val="0060019E"/>
    <w:rsid w:val="006006A9"/>
    <w:rsid w:val="0060143E"/>
    <w:rsid w:val="006014C6"/>
    <w:rsid w:val="0060163F"/>
    <w:rsid w:val="00601714"/>
    <w:rsid w:val="00603E48"/>
    <w:rsid w:val="0060460A"/>
    <w:rsid w:val="006046E8"/>
    <w:rsid w:val="00605216"/>
    <w:rsid w:val="00605D0A"/>
    <w:rsid w:val="00605FBA"/>
    <w:rsid w:val="006077E6"/>
    <w:rsid w:val="00607CB1"/>
    <w:rsid w:val="006101D8"/>
    <w:rsid w:val="00610C48"/>
    <w:rsid w:val="00610E9E"/>
    <w:rsid w:val="006110F6"/>
    <w:rsid w:val="006111CC"/>
    <w:rsid w:val="00611227"/>
    <w:rsid w:val="0061124C"/>
    <w:rsid w:val="006117E8"/>
    <w:rsid w:val="00611999"/>
    <w:rsid w:val="0061202E"/>
    <w:rsid w:val="006122F1"/>
    <w:rsid w:val="006127AC"/>
    <w:rsid w:val="00613912"/>
    <w:rsid w:val="00613CBB"/>
    <w:rsid w:val="006152A9"/>
    <w:rsid w:val="006152DA"/>
    <w:rsid w:val="0061588E"/>
    <w:rsid w:val="00615B7E"/>
    <w:rsid w:val="00615F84"/>
    <w:rsid w:val="00616450"/>
    <w:rsid w:val="00617BAA"/>
    <w:rsid w:val="006203B8"/>
    <w:rsid w:val="0062041F"/>
    <w:rsid w:val="00620A66"/>
    <w:rsid w:val="00620BD1"/>
    <w:rsid w:val="00620E56"/>
    <w:rsid w:val="00620F37"/>
    <w:rsid w:val="0062212A"/>
    <w:rsid w:val="00623A72"/>
    <w:rsid w:val="0062409A"/>
    <w:rsid w:val="00625128"/>
    <w:rsid w:val="006256B1"/>
    <w:rsid w:val="00625D94"/>
    <w:rsid w:val="00626745"/>
    <w:rsid w:val="0062696B"/>
    <w:rsid w:val="0062792E"/>
    <w:rsid w:val="00627F5C"/>
    <w:rsid w:val="00630435"/>
    <w:rsid w:val="00630760"/>
    <w:rsid w:val="00630C5C"/>
    <w:rsid w:val="006310C2"/>
    <w:rsid w:val="006317FF"/>
    <w:rsid w:val="00631C9D"/>
    <w:rsid w:val="00631D57"/>
    <w:rsid w:val="00632756"/>
    <w:rsid w:val="00633540"/>
    <w:rsid w:val="00633787"/>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D48"/>
    <w:rsid w:val="00647598"/>
    <w:rsid w:val="00647685"/>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5E3"/>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DE9"/>
    <w:rsid w:val="00673EE3"/>
    <w:rsid w:val="00673F8B"/>
    <w:rsid w:val="0067465D"/>
    <w:rsid w:val="0067471D"/>
    <w:rsid w:val="006749A4"/>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940"/>
    <w:rsid w:val="00682B06"/>
    <w:rsid w:val="0068315D"/>
    <w:rsid w:val="006838B2"/>
    <w:rsid w:val="006839A2"/>
    <w:rsid w:val="00683C2F"/>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369"/>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6CA5"/>
    <w:rsid w:val="006A71ED"/>
    <w:rsid w:val="006A7723"/>
    <w:rsid w:val="006B0357"/>
    <w:rsid w:val="006B138C"/>
    <w:rsid w:val="006B2740"/>
    <w:rsid w:val="006B3102"/>
    <w:rsid w:val="006B324E"/>
    <w:rsid w:val="006B42F5"/>
    <w:rsid w:val="006B48C1"/>
    <w:rsid w:val="006B4AD7"/>
    <w:rsid w:val="006B4E93"/>
    <w:rsid w:val="006B4FBB"/>
    <w:rsid w:val="006B56EF"/>
    <w:rsid w:val="006B578E"/>
    <w:rsid w:val="006B58DD"/>
    <w:rsid w:val="006B5FBE"/>
    <w:rsid w:val="006B622A"/>
    <w:rsid w:val="006B63D7"/>
    <w:rsid w:val="006B643F"/>
    <w:rsid w:val="006B654E"/>
    <w:rsid w:val="006C0559"/>
    <w:rsid w:val="006C05F9"/>
    <w:rsid w:val="006C149B"/>
    <w:rsid w:val="006C1940"/>
    <w:rsid w:val="006C1C17"/>
    <w:rsid w:val="006C1C4A"/>
    <w:rsid w:val="006C26E8"/>
    <w:rsid w:val="006C2B3B"/>
    <w:rsid w:val="006C304E"/>
    <w:rsid w:val="006C3353"/>
    <w:rsid w:val="006C3A07"/>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B88"/>
    <w:rsid w:val="006D3F7E"/>
    <w:rsid w:val="006D4C95"/>
    <w:rsid w:val="006D53C8"/>
    <w:rsid w:val="006D5487"/>
    <w:rsid w:val="006D5B4C"/>
    <w:rsid w:val="006D6A58"/>
    <w:rsid w:val="006D6B57"/>
    <w:rsid w:val="006D718B"/>
    <w:rsid w:val="006D7A69"/>
    <w:rsid w:val="006E05CB"/>
    <w:rsid w:val="006E101D"/>
    <w:rsid w:val="006E10F8"/>
    <w:rsid w:val="006E1301"/>
    <w:rsid w:val="006E1D71"/>
    <w:rsid w:val="006E22AC"/>
    <w:rsid w:val="006E28C0"/>
    <w:rsid w:val="006E2EAF"/>
    <w:rsid w:val="006E3080"/>
    <w:rsid w:val="006E31DF"/>
    <w:rsid w:val="006E336A"/>
    <w:rsid w:val="006E34C9"/>
    <w:rsid w:val="006E56B1"/>
    <w:rsid w:val="006E5C88"/>
    <w:rsid w:val="006E6604"/>
    <w:rsid w:val="006E6666"/>
    <w:rsid w:val="006E6FB5"/>
    <w:rsid w:val="006E7A9D"/>
    <w:rsid w:val="006E7B3D"/>
    <w:rsid w:val="006E7D0A"/>
    <w:rsid w:val="006F00DD"/>
    <w:rsid w:val="006F036F"/>
    <w:rsid w:val="006F0378"/>
    <w:rsid w:val="006F0E2A"/>
    <w:rsid w:val="006F100A"/>
    <w:rsid w:val="006F1023"/>
    <w:rsid w:val="006F10B8"/>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AEF"/>
    <w:rsid w:val="006F5FF1"/>
    <w:rsid w:val="006F6DD8"/>
    <w:rsid w:val="006F7BB2"/>
    <w:rsid w:val="00700203"/>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076F3"/>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7E"/>
    <w:rsid w:val="00716582"/>
    <w:rsid w:val="00716A90"/>
    <w:rsid w:val="00716B49"/>
    <w:rsid w:val="00716DC0"/>
    <w:rsid w:val="00721921"/>
    <w:rsid w:val="007225B8"/>
    <w:rsid w:val="00722A9F"/>
    <w:rsid w:val="00722F1B"/>
    <w:rsid w:val="00722F88"/>
    <w:rsid w:val="00723050"/>
    <w:rsid w:val="00723238"/>
    <w:rsid w:val="007254C7"/>
    <w:rsid w:val="00725C69"/>
    <w:rsid w:val="00725D1C"/>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9DF"/>
    <w:rsid w:val="00744A52"/>
    <w:rsid w:val="00744D8B"/>
    <w:rsid w:val="00744FF2"/>
    <w:rsid w:val="00745140"/>
    <w:rsid w:val="00745A93"/>
    <w:rsid w:val="00745F85"/>
    <w:rsid w:val="00746950"/>
    <w:rsid w:val="00746B07"/>
    <w:rsid w:val="00746EC9"/>
    <w:rsid w:val="00746FBB"/>
    <w:rsid w:val="00747B5F"/>
    <w:rsid w:val="00747D64"/>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165"/>
    <w:rsid w:val="00755571"/>
    <w:rsid w:val="00756B5C"/>
    <w:rsid w:val="00757395"/>
    <w:rsid w:val="00757798"/>
    <w:rsid w:val="00760827"/>
    <w:rsid w:val="007609E5"/>
    <w:rsid w:val="00760CC5"/>
    <w:rsid w:val="0076155C"/>
    <w:rsid w:val="007624F8"/>
    <w:rsid w:val="00762654"/>
    <w:rsid w:val="00762BDB"/>
    <w:rsid w:val="00762DA0"/>
    <w:rsid w:val="007646E0"/>
    <w:rsid w:val="00764C7D"/>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8D7"/>
    <w:rsid w:val="00776C5C"/>
    <w:rsid w:val="00777831"/>
    <w:rsid w:val="00777ADA"/>
    <w:rsid w:val="00780065"/>
    <w:rsid w:val="00780C5A"/>
    <w:rsid w:val="007819B6"/>
    <w:rsid w:val="0078206E"/>
    <w:rsid w:val="00783070"/>
    <w:rsid w:val="00783111"/>
    <w:rsid w:val="00783381"/>
    <w:rsid w:val="0078349F"/>
    <w:rsid w:val="00784A37"/>
    <w:rsid w:val="00785228"/>
    <w:rsid w:val="007853DB"/>
    <w:rsid w:val="00785B60"/>
    <w:rsid w:val="00785B8A"/>
    <w:rsid w:val="00786293"/>
    <w:rsid w:val="00786607"/>
    <w:rsid w:val="00786D50"/>
    <w:rsid w:val="00787595"/>
    <w:rsid w:val="00787F4F"/>
    <w:rsid w:val="0079058F"/>
    <w:rsid w:val="007906EB"/>
    <w:rsid w:val="00790D43"/>
    <w:rsid w:val="00790FBE"/>
    <w:rsid w:val="007915D1"/>
    <w:rsid w:val="00791B51"/>
    <w:rsid w:val="00793A1C"/>
    <w:rsid w:val="00793C2E"/>
    <w:rsid w:val="007940A9"/>
    <w:rsid w:val="00794A72"/>
    <w:rsid w:val="00794DDB"/>
    <w:rsid w:val="00795D03"/>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8A5"/>
    <w:rsid w:val="007A39F9"/>
    <w:rsid w:val="007A3F97"/>
    <w:rsid w:val="007A42B0"/>
    <w:rsid w:val="007A4570"/>
    <w:rsid w:val="007A51D1"/>
    <w:rsid w:val="007A549E"/>
    <w:rsid w:val="007A582A"/>
    <w:rsid w:val="007A5854"/>
    <w:rsid w:val="007A58E8"/>
    <w:rsid w:val="007A6808"/>
    <w:rsid w:val="007A694C"/>
    <w:rsid w:val="007A7532"/>
    <w:rsid w:val="007A7794"/>
    <w:rsid w:val="007B01AD"/>
    <w:rsid w:val="007B01CF"/>
    <w:rsid w:val="007B0477"/>
    <w:rsid w:val="007B1AC3"/>
    <w:rsid w:val="007B1E66"/>
    <w:rsid w:val="007B32B1"/>
    <w:rsid w:val="007B33A1"/>
    <w:rsid w:val="007B3825"/>
    <w:rsid w:val="007B4268"/>
    <w:rsid w:val="007B46EF"/>
    <w:rsid w:val="007B48E0"/>
    <w:rsid w:val="007B4E3F"/>
    <w:rsid w:val="007B5660"/>
    <w:rsid w:val="007B572E"/>
    <w:rsid w:val="007B6E04"/>
    <w:rsid w:val="007B6EAF"/>
    <w:rsid w:val="007C0099"/>
    <w:rsid w:val="007C0530"/>
    <w:rsid w:val="007C05F9"/>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7C"/>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092D"/>
    <w:rsid w:val="007F1103"/>
    <w:rsid w:val="007F13BD"/>
    <w:rsid w:val="007F163A"/>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3607"/>
    <w:rsid w:val="00804209"/>
    <w:rsid w:val="008044EC"/>
    <w:rsid w:val="0080455A"/>
    <w:rsid w:val="00805E54"/>
    <w:rsid w:val="00806116"/>
    <w:rsid w:val="008075A1"/>
    <w:rsid w:val="008103E7"/>
    <w:rsid w:val="00810533"/>
    <w:rsid w:val="00810669"/>
    <w:rsid w:val="008109B1"/>
    <w:rsid w:val="008109B7"/>
    <w:rsid w:val="00810E70"/>
    <w:rsid w:val="0081178E"/>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30C"/>
    <w:rsid w:val="00822D79"/>
    <w:rsid w:val="00822E5A"/>
    <w:rsid w:val="008235AF"/>
    <w:rsid w:val="0082384A"/>
    <w:rsid w:val="00823EF4"/>
    <w:rsid w:val="00824551"/>
    <w:rsid w:val="0082490B"/>
    <w:rsid w:val="00824C40"/>
    <w:rsid w:val="00824C74"/>
    <w:rsid w:val="00824DFC"/>
    <w:rsid w:val="00824F2D"/>
    <w:rsid w:val="00825553"/>
    <w:rsid w:val="008259F0"/>
    <w:rsid w:val="00825CFF"/>
    <w:rsid w:val="00826422"/>
    <w:rsid w:val="008264A2"/>
    <w:rsid w:val="00826808"/>
    <w:rsid w:val="008268C0"/>
    <w:rsid w:val="00827A06"/>
    <w:rsid w:val="00827DD7"/>
    <w:rsid w:val="008302F7"/>
    <w:rsid w:val="00830457"/>
    <w:rsid w:val="00830CF2"/>
    <w:rsid w:val="00830F01"/>
    <w:rsid w:val="008319E2"/>
    <w:rsid w:val="00831CB7"/>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2AB"/>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A9"/>
    <w:rsid w:val="008442F6"/>
    <w:rsid w:val="0084658A"/>
    <w:rsid w:val="0084673D"/>
    <w:rsid w:val="0084717E"/>
    <w:rsid w:val="008474E6"/>
    <w:rsid w:val="00847ADB"/>
    <w:rsid w:val="00847DF1"/>
    <w:rsid w:val="00850315"/>
    <w:rsid w:val="0085063D"/>
    <w:rsid w:val="0085089F"/>
    <w:rsid w:val="00850D00"/>
    <w:rsid w:val="008514BE"/>
    <w:rsid w:val="00851680"/>
    <w:rsid w:val="0085178D"/>
    <w:rsid w:val="00851BDD"/>
    <w:rsid w:val="008520C7"/>
    <w:rsid w:val="008527CC"/>
    <w:rsid w:val="00852BE1"/>
    <w:rsid w:val="008534E3"/>
    <w:rsid w:val="008535CC"/>
    <w:rsid w:val="00853ABF"/>
    <w:rsid w:val="00853C9F"/>
    <w:rsid w:val="0085403F"/>
    <w:rsid w:val="008541BF"/>
    <w:rsid w:val="00854638"/>
    <w:rsid w:val="00854CED"/>
    <w:rsid w:val="00855FC2"/>
    <w:rsid w:val="008564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6D1F"/>
    <w:rsid w:val="008673E8"/>
    <w:rsid w:val="008675CF"/>
    <w:rsid w:val="00867C85"/>
    <w:rsid w:val="00867D3A"/>
    <w:rsid w:val="00870478"/>
    <w:rsid w:val="00870F6E"/>
    <w:rsid w:val="00871580"/>
    <w:rsid w:val="008718ED"/>
    <w:rsid w:val="00871E7F"/>
    <w:rsid w:val="00872789"/>
    <w:rsid w:val="008728E4"/>
    <w:rsid w:val="00872CC6"/>
    <w:rsid w:val="00873D6D"/>
    <w:rsid w:val="0087420C"/>
    <w:rsid w:val="008752B6"/>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11"/>
    <w:rsid w:val="00885B74"/>
    <w:rsid w:val="00885DCC"/>
    <w:rsid w:val="00885EC4"/>
    <w:rsid w:val="00886138"/>
    <w:rsid w:val="008861B2"/>
    <w:rsid w:val="008861E4"/>
    <w:rsid w:val="00886712"/>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23E"/>
    <w:rsid w:val="008A0303"/>
    <w:rsid w:val="008A036E"/>
    <w:rsid w:val="008A067D"/>
    <w:rsid w:val="008A0836"/>
    <w:rsid w:val="008A0A16"/>
    <w:rsid w:val="008A14D3"/>
    <w:rsid w:val="008A1A51"/>
    <w:rsid w:val="008A20D2"/>
    <w:rsid w:val="008A2281"/>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AF8"/>
    <w:rsid w:val="008B4E7F"/>
    <w:rsid w:val="008B4F1A"/>
    <w:rsid w:val="008B5092"/>
    <w:rsid w:val="008B50C3"/>
    <w:rsid w:val="008B54D1"/>
    <w:rsid w:val="008B5769"/>
    <w:rsid w:val="008B60E6"/>
    <w:rsid w:val="008B62E2"/>
    <w:rsid w:val="008B6316"/>
    <w:rsid w:val="008B71E8"/>
    <w:rsid w:val="008B784E"/>
    <w:rsid w:val="008B7C01"/>
    <w:rsid w:val="008C0094"/>
    <w:rsid w:val="008C1CAF"/>
    <w:rsid w:val="008C1E18"/>
    <w:rsid w:val="008C2811"/>
    <w:rsid w:val="008C28C4"/>
    <w:rsid w:val="008C2A81"/>
    <w:rsid w:val="008C3470"/>
    <w:rsid w:val="008C35FC"/>
    <w:rsid w:val="008C36F8"/>
    <w:rsid w:val="008C3F70"/>
    <w:rsid w:val="008C43DD"/>
    <w:rsid w:val="008C4533"/>
    <w:rsid w:val="008C53F5"/>
    <w:rsid w:val="008C55F3"/>
    <w:rsid w:val="008C5AD3"/>
    <w:rsid w:val="008C5BC5"/>
    <w:rsid w:val="008C5DE7"/>
    <w:rsid w:val="008C6524"/>
    <w:rsid w:val="008C7681"/>
    <w:rsid w:val="008C785A"/>
    <w:rsid w:val="008C7935"/>
    <w:rsid w:val="008C7DF4"/>
    <w:rsid w:val="008D0980"/>
    <w:rsid w:val="008D0A6B"/>
    <w:rsid w:val="008D0F55"/>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29D"/>
    <w:rsid w:val="008E3F9D"/>
    <w:rsid w:val="008E5A61"/>
    <w:rsid w:val="008E5CA3"/>
    <w:rsid w:val="008E5E46"/>
    <w:rsid w:val="008E6600"/>
    <w:rsid w:val="008E669C"/>
    <w:rsid w:val="008E6830"/>
    <w:rsid w:val="008E6E74"/>
    <w:rsid w:val="008E703C"/>
    <w:rsid w:val="008F026D"/>
    <w:rsid w:val="008F0806"/>
    <w:rsid w:val="008F0820"/>
    <w:rsid w:val="008F0F18"/>
    <w:rsid w:val="008F17D7"/>
    <w:rsid w:val="008F17DE"/>
    <w:rsid w:val="008F1AC0"/>
    <w:rsid w:val="008F1C23"/>
    <w:rsid w:val="008F1DF7"/>
    <w:rsid w:val="008F2E57"/>
    <w:rsid w:val="008F31A1"/>
    <w:rsid w:val="008F357C"/>
    <w:rsid w:val="008F393A"/>
    <w:rsid w:val="008F3B58"/>
    <w:rsid w:val="008F3F87"/>
    <w:rsid w:val="008F47B7"/>
    <w:rsid w:val="008F51C6"/>
    <w:rsid w:val="008F7331"/>
    <w:rsid w:val="008F772D"/>
    <w:rsid w:val="00900DD4"/>
    <w:rsid w:val="00900F36"/>
    <w:rsid w:val="009011B3"/>
    <w:rsid w:val="00901493"/>
    <w:rsid w:val="00901CAA"/>
    <w:rsid w:val="00901F2F"/>
    <w:rsid w:val="00902118"/>
    <w:rsid w:val="009021C5"/>
    <w:rsid w:val="00902F97"/>
    <w:rsid w:val="009035D7"/>
    <w:rsid w:val="009042A2"/>
    <w:rsid w:val="0090599A"/>
    <w:rsid w:val="00905DE9"/>
    <w:rsid w:val="00905E49"/>
    <w:rsid w:val="00905FE2"/>
    <w:rsid w:val="00906CF5"/>
    <w:rsid w:val="00907908"/>
    <w:rsid w:val="0090797A"/>
    <w:rsid w:val="00907B8C"/>
    <w:rsid w:val="00907DE3"/>
    <w:rsid w:val="00910201"/>
    <w:rsid w:val="00911633"/>
    <w:rsid w:val="009125EE"/>
    <w:rsid w:val="00912A85"/>
    <w:rsid w:val="00912DE7"/>
    <w:rsid w:val="009134F0"/>
    <w:rsid w:val="00913A01"/>
    <w:rsid w:val="00913B85"/>
    <w:rsid w:val="00913D92"/>
    <w:rsid w:val="00914242"/>
    <w:rsid w:val="00914B45"/>
    <w:rsid w:val="00914DD3"/>
    <w:rsid w:val="009156CE"/>
    <w:rsid w:val="00916224"/>
    <w:rsid w:val="0091691E"/>
    <w:rsid w:val="00916D7F"/>
    <w:rsid w:val="00917071"/>
    <w:rsid w:val="00917186"/>
    <w:rsid w:val="00917B2B"/>
    <w:rsid w:val="00920859"/>
    <w:rsid w:val="00920B23"/>
    <w:rsid w:val="00920CC1"/>
    <w:rsid w:val="0092135A"/>
    <w:rsid w:val="0092136F"/>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0B4"/>
    <w:rsid w:val="00932277"/>
    <w:rsid w:val="00932637"/>
    <w:rsid w:val="00932787"/>
    <w:rsid w:val="00932A5E"/>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0F8"/>
    <w:rsid w:val="009505F5"/>
    <w:rsid w:val="00951096"/>
    <w:rsid w:val="0095167C"/>
    <w:rsid w:val="00951AEF"/>
    <w:rsid w:val="0095213E"/>
    <w:rsid w:val="009522BF"/>
    <w:rsid w:val="00952332"/>
    <w:rsid w:val="00952F91"/>
    <w:rsid w:val="009539EA"/>
    <w:rsid w:val="00953A70"/>
    <w:rsid w:val="00953EBF"/>
    <w:rsid w:val="00953EDD"/>
    <w:rsid w:val="00953F70"/>
    <w:rsid w:val="0095500C"/>
    <w:rsid w:val="00955206"/>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4F65"/>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6DA"/>
    <w:rsid w:val="00974D98"/>
    <w:rsid w:val="00974EAF"/>
    <w:rsid w:val="0097561B"/>
    <w:rsid w:val="00976DDA"/>
    <w:rsid w:val="009801E3"/>
    <w:rsid w:val="009809BE"/>
    <w:rsid w:val="009816C4"/>
    <w:rsid w:val="00982045"/>
    <w:rsid w:val="009820EE"/>
    <w:rsid w:val="00982646"/>
    <w:rsid w:val="00982A74"/>
    <w:rsid w:val="00983371"/>
    <w:rsid w:val="00984A65"/>
    <w:rsid w:val="0098530B"/>
    <w:rsid w:val="00985455"/>
    <w:rsid w:val="00985829"/>
    <w:rsid w:val="00985D7A"/>
    <w:rsid w:val="00986542"/>
    <w:rsid w:val="0098681B"/>
    <w:rsid w:val="00990481"/>
    <w:rsid w:val="0099082D"/>
    <w:rsid w:val="009918BA"/>
    <w:rsid w:val="00992C0C"/>
    <w:rsid w:val="00992F5C"/>
    <w:rsid w:val="00993BAF"/>
    <w:rsid w:val="00994E83"/>
    <w:rsid w:val="00995AD2"/>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CB2"/>
    <w:rsid w:val="009A3E91"/>
    <w:rsid w:val="009A4069"/>
    <w:rsid w:val="009A427D"/>
    <w:rsid w:val="009A5632"/>
    <w:rsid w:val="009A56B6"/>
    <w:rsid w:val="009A57D4"/>
    <w:rsid w:val="009A5865"/>
    <w:rsid w:val="009A5E03"/>
    <w:rsid w:val="009A66C3"/>
    <w:rsid w:val="009A6712"/>
    <w:rsid w:val="009A6D07"/>
    <w:rsid w:val="009A6FB7"/>
    <w:rsid w:val="009A7486"/>
    <w:rsid w:val="009A77A9"/>
    <w:rsid w:val="009B0A40"/>
    <w:rsid w:val="009B1480"/>
    <w:rsid w:val="009B1879"/>
    <w:rsid w:val="009B3717"/>
    <w:rsid w:val="009B3A4A"/>
    <w:rsid w:val="009B3B80"/>
    <w:rsid w:val="009B4088"/>
    <w:rsid w:val="009B4DD4"/>
    <w:rsid w:val="009B51A8"/>
    <w:rsid w:val="009B5702"/>
    <w:rsid w:val="009B5EBA"/>
    <w:rsid w:val="009B5F4B"/>
    <w:rsid w:val="009B693F"/>
    <w:rsid w:val="009B6B8C"/>
    <w:rsid w:val="009B7EFF"/>
    <w:rsid w:val="009C1111"/>
    <w:rsid w:val="009C12C4"/>
    <w:rsid w:val="009C13F8"/>
    <w:rsid w:val="009C1672"/>
    <w:rsid w:val="009C16BE"/>
    <w:rsid w:val="009C1ACA"/>
    <w:rsid w:val="009C1B41"/>
    <w:rsid w:val="009C1FA7"/>
    <w:rsid w:val="009C30F0"/>
    <w:rsid w:val="009C370A"/>
    <w:rsid w:val="009C3AD0"/>
    <w:rsid w:val="009C42C9"/>
    <w:rsid w:val="009C42F5"/>
    <w:rsid w:val="009C47EF"/>
    <w:rsid w:val="009C4DDE"/>
    <w:rsid w:val="009C4FB3"/>
    <w:rsid w:val="009C50B5"/>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C45"/>
    <w:rsid w:val="009E5EEC"/>
    <w:rsid w:val="009E603E"/>
    <w:rsid w:val="009E6201"/>
    <w:rsid w:val="009E6216"/>
    <w:rsid w:val="009E6885"/>
    <w:rsid w:val="009E6BFE"/>
    <w:rsid w:val="009E703B"/>
    <w:rsid w:val="009F040D"/>
    <w:rsid w:val="009F0547"/>
    <w:rsid w:val="009F0770"/>
    <w:rsid w:val="009F180A"/>
    <w:rsid w:val="009F2061"/>
    <w:rsid w:val="009F207A"/>
    <w:rsid w:val="009F27ED"/>
    <w:rsid w:val="009F280A"/>
    <w:rsid w:val="009F29F7"/>
    <w:rsid w:val="009F2D9C"/>
    <w:rsid w:val="009F45F8"/>
    <w:rsid w:val="009F4B26"/>
    <w:rsid w:val="009F64E2"/>
    <w:rsid w:val="009F6540"/>
    <w:rsid w:val="009F695E"/>
    <w:rsid w:val="009F6CE0"/>
    <w:rsid w:val="009F7527"/>
    <w:rsid w:val="00A00BB9"/>
    <w:rsid w:val="00A00C71"/>
    <w:rsid w:val="00A012E6"/>
    <w:rsid w:val="00A014BA"/>
    <w:rsid w:val="00A02074"/>
    <w:rsid w:val="00A022E5"/>
    <w:rsid w:val="00A023E8"/>
    <w:rsid w:val="00A0242F"/>
    <w:rsid w:val="00A026B9"/>
    <w:rsid w:val="00A03DB3"/>
    <w:rsid w:val="00A04F77"/>
    <w:rsid w:val="00A061E2"/>
    <w:rsid w:val="00A06332"/>
    <w:rsid w:val="00A06CA5"/>
    <w:rsid w:val="00A06D96"/>
    <w:rsid w:val="00A07488"/>
    <w:rsid w:val="00A10A7F"/>
    <w:rsid w:val="00A10A82"/>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EE9"/>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A1"/>
    <w:rsid w:val="00A25BEC"/>
    <w:rsid w:val="00A26172"/>
    <w:rsid w:val="00A263B4"/>
    <w:rsid w:val="00A26D9F"/>
    <w:rsid w:val="00A27D30"/>
    <w:rsid w:val="00A30370"/>
    <w:rsid w:val="00A30482"/>
    <w:rsid w:val="00A3058F"/>
    <w:rsid w:val="00A30713"/>
    <w:rsid w:val="00A3080F"/>
    <w:rsid w:val="00A31023"/>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BD4"/>
    <w:rsid w:val="00A37CA4"/>
    <w:rsid w:val="00A37D53"/>
    <w:rsid w:val="00A37E29"/>
    <w:rsid w:val="00A401CD"/>
    <w:rsid w:val="00A4066B"/>
    <w:rsid w:val="00A40A09"/>
    <w:rsid w:val="00A40ECA"/>
    <w:rsid w:val="00A4127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F6B"/>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22B"/>
    <w:rsid w:val="00A6736D"/>
    <w:rsid w:val="00A679C7"/>
    <w:rsid w:val="00A7006B"/>
    <w:rsid w:val="00A7013C"/>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0A7"/>
    <w:rsid w:val="00A7766D"/>
    <w:rsid w:val="00A80063"/>
    <w:rsid w:val="00A801B5"/>
    <w:rsid w:val="00A80CD4"/>
    <w:rsid w:val="00A80D03"/>
    <w:rsid w:val="00A8115C"/>
    <w:rsid w:val="00A81D1A"/>
    <w:rsid w:val="00A81EC0"/>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0A4C"/>
    <w:rsid w:val="00A910D7"/>
    <w:rsid w:val="00A9132F"/>
    <w:rsid w:val="00A91D7F"/>
    <w:rsid w:val="00A923F5"/>
    <w:rsid w:val="00A939B7"/>
    <w:rsid w:val="00A93C5B"/>
    <w:rsid w:val="00A93EB0"/>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492"/>
    <w:rsid w:val="00AA653B"/>
    <w:rsid w:val="00AA6755"/>
    <w:rsid w:val="00AA6C39"/>
    <w:rsid w:val="00AA6F51"/>
    <w:rsid w:val="00AB0C97"/>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217"/>
    <w:rsid w:val="00AC26B2"/>
    <w:rsid w:val="00AC3352"/>
    <w:rsid w:val="00AC3921"/>
    <w:rsid w:val="00AC39C3"/>
    <w:rsid w:val="00AC3E74"/>
    <w:rsid w:val="00AC3FEF"/>
    <w:rsid w:val="00AC525B"/>
    <w:rsid w:val="00AC6252"/>
    <w:rsid w:val="00AC6603"/>
    <w:rsid w:val="00AC6C9E"/>
    <w:rsid w:val="00AC7186"/>
    <w:rsid w:val="00AC7200"/>
    <w:rsid w:val="00AC74E3"/>
    <w:rsid w:val="00AC7597"/>
    <w:rsid w:val="00AC7B83"/>
    <w:rsid w:val="00AD0477"/>
    <w:rsid w:val="00AD0502"/>
    <w:rsid w:val="00AD098B"/>
    <w:rsid w:val="00AD119E"/>
    <w:rsid w:val="00AD11DF"/>
    <w:rsid w:val="00AD1D9D"/>
    <w:rsid w:val="00AD1DAB"/>
    <w:rsid w:val="00AD1EE7"/>
    <w:rsid w:val="00AD2588"/>
    <w:rsid w:val="00AD277A"/>
    <w:rsid w:val="00AD277F"/>
    <w:rsid w:val="00AD28BE"/>
    <w:rsid w:val="00AD28E2"/>
    <w:rsid w:val="00AD41B4"/>
    <w:rsid w:val="00AD480B"/>
    <w:rsid w:val="00AD516E"/>
    <w:rsid w:val="00AD5465"/>
    <w:rsid w:val="00AD6172"/>
    <w:rsid w:val="00AD7210"/>
    <w:rsid w:val="00AD7554"/>
    <w:rsid w:val="00AD7B76"/>
    <w:rsid w:val="00AE05D5"/>
    <w:rsid w:val="00AE1D9B"/>
    <w:rsid w:val="00AE228A"/>
    <w:rsid w:val="00AE2AD7"/>
    <w:rsid w:val="00AE2B11"/>
    <w:rsid w:val="00AE2DB1"/>
    <w:rsid w:val="00AE356F"/>
    <w:rsid w:val="00AE4179"/>
    <w:rsid w:val="00AE43E3"/>
    <w:rsid w:val="00AE5226"/>
    <w:rsid w:val="00AE6864"/>
    <w:rsid w:val="00AE736F"/>
    <w:rsid w:val="00AF0348"/>
    <w:rsid w:val="00AF10C7"/>
    <w:rsid w:val="00AF18E9"/>
    <w:rsid w:val="00AF32B1"/>
    <w:rsid w:val="00AF3BBB"/>
    <w:rsid w:val="00AF3EA8"/>
    <w:rsid w:val="00AF3EAA"/>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567"/>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7B7"/>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4BDE"/>
    <w:rsid w:val="00B6517B"/>
    <w:rsid w:val="00B65352"/>
    <w:rsid w:val="00B65B47"/>
    <w:rsid w:val="00B65B6B"/>
    <w:rsid w:val="00B66795"/>
    <w:rsid w:val="00B6691B"/>
    <w:rsid w:val="00B66969"/>
    <w:rsid w:val="00B66B37"/>
    <w:rsid w:val="00B67231"/>
    <w:rsid w:val="00B67A23"/>
    <w:rsid w:val="00B67E35"/>
    <w:rsid w:val="00B7032E"/>
    <w:rsid w:val="00B707CE"/>
    <w:rsid w:val="00B708CD"/>
    <w:rsid w:val="00B7117A"/>
    <w:rsid w:val="00B71417"/>
    <w:rsid w:val="00B7141D"/>
    <w:rsid w:val="00B721CE"/>
    <w:rsid w:val="00B72CAD"/>
    <w:rsid w:val="00B72EEE"/>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0FC"/>
    <w:rsid w:val="00B85A98"/>
    <w:rsid w:val="00B8601F"/>
    <w:rsid w:val="00B86046"/>
    <w:rsid w:val="00B86153"/>
    <w:rsid w:val="00B866D7"/>
    <w:rsid w:val="00B872FC"/>
    <w:rsid w:val="00B87322"/>
    <w:rsid w:val="00B90503"/>
    <w:rsid w:val="00B90686"/>
    <w:rsid w:val="00B90A20"/>
    <w:rsid w:val="00B90DC1"/>
    <w:rsid w:val="00B914A6"/>
    <w:rsid w:val="00B915F8"/>
    <w:rsid w:val="00B91883"/>
    <w:rsid w:val="00B919C6"/>
    <w:rsid w:val="00B92783"/>
    <w:rsid w:val="00B92B53"/>
    <w:rsid w:val="00B92C3B"/>
    <w:rsid w:val="00B92D1B"/>
    <w:rsid w:val="00B93178"/>
    <w:rsid w:val="00B93CB8"/>
    <w:rsid w:val="00B93FC9"/>
    <w:rsid w:val="00B94C88"/>
    <w:rsid w:val="00B952AB"/>
    <w:rsid w:val="00B954EA"/>
    <w:rsid w:val="00B95782"/>
    <w:rsid w:val="00B95F8F"/>
    <w:rsid w:val="00B96CD6"/>
    <w:rsid w:val="00B96D15"/>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29C"/>
    <w:rsid w:val="00BB097F"/>
    <w:rsid w:val="00BB0D96"/>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7E0"/>
    <w:rsid w:val="00BD1C10"/>
    <w:rsid w:val="00BD3491"/>
    <w:rsid w:val="00BD35C4"/>
    <w:rsid w:val="00BD3E03"/>
    <w:rsid w:val="00BD4088"/>
    <w:rsid w:val="00BD4700"/>
    <w:rsid w:val="00BD4E46"/>
    <w:rsid w:val="00BD557C"/>
    <w:rsid w:val="00BD5B78"/>
    <w:rsid w:val="00BD5C37"/>
    <w:rsid w:val="00BD660A"/>
    <w:rsid w:val="00BD6AA8"/>
    <w:rsid w:val="00BD6CDB"/>
    <w:rsid w:val="00BD7B84"/>
    <w:rsid w:val="00BD7E05"/>
    <w:rsid w:val="00BD7F0C"/>
    <w:rsid w:val="00BE0374"/>
    <w:rsid w:val="00BE043C"/>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19CC"/>
    <w:rsid w:val="00BF2138"/>
    <w:rsid w:val="00BF214D"/>
    <w:rsid w:val="00BF21EE"/>
    <w:rsid w:val="00BF307E"/>
    <w:rsid w:val="00BF325B"/>
    <w:rsid w:val="00BF3694"/>
    <w:rsid w:val="00BF3B9E"/>
    <w:rsid w:val="00BF4B30"/>
    <w:rsid w:val="00BF5510"/>
    <w:rsid w:val="00BF5517"/>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3E4"/>
    <w:rsid w:val="00C054D1"/>
    <w:rsid w:val="00C0588B"/>
    <w:rsid w:val="00C05D42"/>
    <w:rsid w:val="00C06CE8"/>
    <w:rsid w:val="00C07520"/>
    <w:rsid w:val="00C078B6"/>
    <w:rsid w:val="00C07AD6"/>
    <w:rsid w:val="00C1061B"/>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B68"/>
    <w:rsid w:val="00C20D15"/>
    <w:rsid w:val="00C21126"/>
    <w:rsid w:val="00C21B1A"/>
    <w:rsid w:val="00C21CA1"/>
    <w:rsid w:val="00C21D1C"/>
    <w:rsid w:val="00C228FE"/>
    <w:rsid w:val="00C22D7A"/>
    <w:rsid w:val="00C2477A"/>
    <w:rsid w:val="00C25180"/>
    <w:rsid w:val="00C2551C"/>
    <w:rsid w:val="00C257D7"/>
    <w:rsid w:val="00C25A24"/>
    <w:rsid w:val="00C265DC"/>
    <w:rsid w:val="00C26711"/>
    <w:rsid w:val="00C267A3"/>
    <w:rsid w:val="00C2697E"/>
    <w:rsid w:val="00C26F8D"/>
    <w:rsid w:val="00C274F9"/>
    <w:rsid w:val="00C2760B"/>
    <w:rsid w:val="00C307ED"/>
    <w:rsid w:val="00C30B80"/>
    <w:rsid w:val="00C30CAD"/>
    <w:rsid w:val="00C326D5"/>
    <w:rsid w:val="00C32CB9"/>
    <w:rsid w:val="00C32EE2"/>
    <w:rsid w:val="00C3372F"/>
    <w:rsid w:val="00C33A92"/>
    <w:rsid w:val="00C33E1B"/>
    <w:rsid w:val="00C3438A"/>
    <w:rsid w:val="00C347F1"/>
    <w:rsid w:val="00C34922"/>
    <w:rsid w:val="00C3521C"/>
    <w:rsid w:val="00C35674"/>
    <w:rsid w:val="00C35970"/>
    <w:rsid w:val="00C35FAF"/>
    <w:rsid w:val="00C3625B"/>
    <w:rsid w:val="00C370B8"/>
    <w:rsid w:val="00C37375"/>
    <w:rsid w:val="00C37543"/>
    <w:rsid w:val="00C37649"/>
    <w:rsid w:val="00C37896"/>
    <w:rsid w:val="00C37EFB"/>
    <w:rsid w:val="00C37FAC"/>
    <w:rsid w:val="00C40750"/>
    <w:rsid w:val="00C4082C"/>
    <w:rsid w:val="00C41D83"/>
    <w:rsid w:val="00C4344C"/>
    <w:rsid w:val="00C4441C"/>
    <w:rsid w:val="00C45250"/>
    <w:rsid w:val="00C46295"/>
    <w:rsid w:val="00C46544"/>
    <w:rsid w:val="00C46DF4"/>
    <w:rsid w:val="00C47447"/>
    <w:rsid w:val="00C47492"/>
    <w:rsid w:val="00C47D51"/>
    <w:rsid w:val="00C502F5"/>
    <w:rsid w:val="00C50390"/>
    <w:rsid w:val="00C50613"/>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05"/>
    <w:rsid w:val="00C55971"/>
    <w:rsid w:val="00C55985"/>
    <w:rsid w:val="00C5619F"/>
    <w:rsid w:val="00C56391"/>
    <w:rsid w:val="00C566AA"/>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549"/>
    <w:rsid w:val="00C82A2E"/>
    <w:rsid w:val="00C82A3D"/>
    <w:rsid w:val="00C82F31"/>
    <w:rsid w:val="00C830E3"/>
    <w:rsid w:val="00C83730"/>
    <w:rsid w:val="00C837E8"/>
    <w:rsid w:val="00C83A4F"/>
    <w:rsid w:val="00C83B6E"/>
    <w:rsid w:val="00C83E8B"/>
    <w:rsid w:val="00C8407A"/>
    <w:rsid w:val="00C84D73"/>
    <w:rsid w:val="00C84DBE"/>
    <w:rsid w:val="00C85239"/>
    <w:rsid w:val="00C857D4"/>
    <w:rsid w:val="00C857D6"/>
    <w:rsid w:val="00C85981"/>
    <w:rsid w:val="00C859DC"/>
    <w:rsid w:val="00C85CE1"/>
    <w:rsid w:val="00C8649B"/>
    <w:rsid w:val="00C8693B"/>
    <w:rsid w:val="00C86FAB"/>
    <w:rsid w:val="00C87136"/>
    <w:rsid w:val="00C87657"/>
    <w:rsid w:val="00C87B9C"/>
    <w:rsid w:val="00C87DA2"/>
    <w:rsid w:val="00C90227"/>
    <w:rsid w:val="00C9071E"/>
    <w:rsid w:val="00C90930"/>
    <w:rsid w:val="00C90B08"/>
    <w:rsid w:val="00C90B36"/>
    <w:rsid w:val="00C90E8E"/>
    <w:rsid w:val="00C9129E"/>
    <w:rsid w:val="00C917A3"/>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6923"/>
    <w:rsid w:val="00CB7BEC"/>
    <w:rsid w:val="00CB7EF9"/>
    <w:rsid w:val="00CC0D5C"/>
    <w:rsid w:val="00CC1380"/>
    <w:rsid w:val="00CC1B51"/>
    <w:rsid w:val="00CC215E"/>
    <w:rsid w:val="00CC239F"/>
    <w:rsid w:val="00CC2A13"/>
    <w:rsid w:val="00CC2A6B"/>
    <w:rsid w:val="00CC2C01"/>
    <w:rsid w:val="00CC2DB0"/>
    <w:rsid w:val="00CC39E1"/>
    <w:rsid w:val="00CC400D"/>
    <w:rsid w:val="00CC48DA"/>
    <w:rsid w:val="00CC497B"/>
    <w:rsid w:val="00CC4AC6"/>
    <w:rsid w:val="00CC4EDB"/>
    <w:rsid w:val="00CC4F45"/>
    <w:rsid w:val="00CC4F59"/>
    <w:rsid w:val="00CC53DF"/>
    <w:rsid w:val="00CC574D"/>
    <w:rsid w:val="00CC579C"/>
    <w:rsid w:val="00CC5EAF"/>
    <w:rsid w:val="00CC61F3"/>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6FBF"/>
    <w:rsid w:val="00CE05E2"/>
    <w:rsid w:val="00CE0A1F"/>
    <w:rsid w:val="00CE0F52"/>
    <w:rsid w:val="00CE17E6"/>
    <w:rsid w:val="00CE1C6E"/>
    <w:rsid w:val="00CE2276"/>
    <w:rsid w:val="00CE23DA"/>
    <w:rsid w:val="00CE23E2"/>
    <w:rsid w:val="00CE280E"/>
    <w:rsid w:val="00CE33E1"/>
    <w:rsid w:val="00CE4068"/>
    <w:rsid w:val="00CE4704"/>
    <w:rsid w:val="00CE4BF2"/>
    <w:rsid w:val="00CE4F1D"/>
    <w:rsid w:val="00CE5046"/>
    <w:rsid w:val="00CE544F"/>
    <w:rsid w:val="00CE55BD"/>
    <w:rsid w:val="00CE58BF"/>
    <w:rsid w:val="00CE595C"/>
    <w:rsid w:val="00CE6E57"/>
    <w:rsid w:val="00CE73F1"/>
    <w:rsid w:val="00CE780E"/>
    <w:rsid w:val="00CE7CB2"/>
    <w:rsid w:val="00CE7DDB"/>
    <w:rsid w:val="00CF009A"/>
    <w:rsid w:val="00CF054C"/>
    <w:rsid w:val="00CF0F8A"/>
    <w:rsid w:val="00CF155A"/>
    <w:rsid w:val="00CF1B4E"/>
    <w:rsid w:val="00CF1E29"/>
    <w:rsid w:val="00CF1E9D"/>
    <w:rsid w:val="00CF1F93"/>
    <w:rsid w:val="00CF2AFB"/>
    <w:rsid w:val="00CF328D"/>
    <w:rsid w:val="00CF352E"/>
    <w:rsid w:val="00CF3585"/>
    <w:rsid w:val="00CF3AE1"/>
    <w:rsid w:val="00CF47EA"/>
    <w:rsid w:val="00CF5F3B"/>
    <w:rsid w:val="00CF62EE"/>
    <w:rsid w:val="00CF6361"/>
    <w:rsid w:val="00CF63E5"/>
    <w:rsid w:val="00CF677E"/>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982"/>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1"/>
    <w:rsid w:val="00D21B19"/>
    <w:rsid w:val="00D21DAF"/>
    <w:rsid w:val="00D22B71"/>
    <w:rsid w:val="00D22D75"/>
    <w:rsid w:val="00D22DD2"/>
    <w:rsid w:val="00D23E13"/>
    <w:rsid w:val="00D23F0D"/>
    <w:rsid w:val="00D23F52"/>
    <w:rsid w:val="00D24049"/>
    <w:rsid w:val="00D24727"/>
    <w:rsid w:val="00D249F0"/>
    <w:rsid w:val="00D2536F"/>
    <w:rsid w:val="00D25606"/>
    <w:rsid w:val="00D264BD"/>
    <w:rsid w:val="00D26A0A"/>
    <w:rsid w:val="00D27904"/>
    <w:rsid w:val="00D27CA9"/>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37DD8"/>
    <w:rsid w:val="00D4002E"/>
    <w:rsid w:val="00D400A1"/>
    <w:rsid w:val="00D403FE"/>
    <w:rsid w:val="00D4058D"/>
    <w:rsid w:val="00D409DE"/>
    <w:rsid w:val="00D40FE7"/>
    <w:rsid w:val="00D41968"/>
    <w:rsid w:val="00D424E8"/>
    <w:rsid w:val="00D42581"/>
    <w:rsid w:val="00D42B75"/>
    <w:rsid w:val="00D438B8"/>
    <w:rsid w:val="00D43955"/>
    <w:rsid w:val="00D447A2"/>
    <w:rsid w:val="00D4485D"/>
    <w:rsid w:val="00D44CB0"/>
    <w:rsid w:val="00D44DBA"/>
    <w:rsid w:val="00D459D1"/>
    <w:rsid w:val="00D462AA"/>
    <w:rsid w:val="00D462FD"/>
    <w:rsid w:val="00D4692B"/>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3EE2"/>
    <w:rsid w:val="00D54172"/>
    <w:rsid w:val="00D54799"/>
    <w:rsid w:val="00D54DC4"/>
    <w:rsid w:val="00D56247"/>
    <w:rsid w:val="00D57C05"/>
    <w:rsid w:val="00D57C95"/>
    <w:rsid w:val="00D6009C"/>
    <w:rsid w:val="00D60BCB"/>
    <w:rsid w:val="00D61515"/>
    <w:rsid w:val="00D616C8"/>
    <w:rsid w:val="00D6171B"/>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74B"/>
    <w:rsid w:val="00D71AED"/>
    <w:rsid w:val="00D71E05"/>
    <w:rsid w:val="00D72223"/>
    <w:rsid w:val="00D72EA5"/>
    <w:rsid w:val="00D73394"/>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43D"/>
    <w:rsid w:val="00D859DD"/>
    <w:rsid w:val="00D85A73"/>
    <w:rsid w:val="00D85F29"/>
    <w:rsid w:val="00D87C05"/>
    <w:rsid w:val="00D900EB"/>
    <w:rsid w:val="00D9038E"/>
    <w:rsid w:val="00D915FC"/>
    <w:rsid w:val="00D91A2D"/>
    <w:rsid w:val="00D9334E"/>
    <w:rsid w:val="00D9347F"/>
    <w:rsid w:val="00D9357E"/>
    <w:rsid w:val="00D940F0"/>
    <w:rsid w:val="00D941C7"/>
    <w:rsid w:val="00D9527C"/>
    <w:rsid w:val="00D95784"/>
    <w:rsid w:val="00D95BB2"/>
    <w:rsid w:val="00D95CDD"/>
    <w:rsid w:val="00D95EAB"/>
    <w:rsid w:val="00D95F03"/>
    <w:rsid w:val="00D9638A"/>
    <w:rsid w:val="00D96850"/>
    <w:rsid w:val="00D96A88"/>
    <w:rsid w:val="00D96F25"/>
    <w:rsid w:val="00D97677"/>
    <w:rsid w:val="00D97874"/>
    <w:rsid w:val="00DA08BD"/>
    <w:rsid w:val="00DA0D8F"/>
    <w:rsid w:val="00DA11CE"/>
    <w:rsid w:val="00DA1640"/>
    <w:rsid w:val="00DA1857"/>
    <w:rsid w:val="00DA188A"/>
    <w:rsid w:val="00DA1E7C"/>
    <w:rsid w:val="00DA1FFE"/>
    <w:rsid w:val="00DA2157"/>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181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6FEC"/>
    <w:rsid w:val="00DD766C"/>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25"/>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B81"/>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6CA"/>
    <w:rsid w:val="00E26860"/>
    <w:rsid w:val="00E269E5"/>
    <w:rsid w:val="00E2705A"/>
    <w:rsid w:val="00E272D5"/>
    <w:rsid w:val="00E27423"/>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63E2"/>
    <w:rsid w:val="00E37326"/>
    <w:rsid w:val="00E377EC"/>
    <w:rsid w:val="00E401B8"/>
    <w:rsid w:val="00E402DF"/>
    <w:rsid w:val="00E40314"/>
    <w:rsid w:val="00E404D7"/>
    <w:rsid w:val="00E41376"/>
    <w:rsid w:val="00E41386"/>
    <w:rsid w:val="00E41A29"/>
    <w:rsid w:val="00E41F4E"/>
    <w:rsid w:val="00E420ED"/>
    <w:rsid w:val="00E42BAE"/>
    <w:rsid w:val="00E42DB0"/>
    <w:rsid w:val="00E42EFE"/>
    <w:rsid w:val="00E43EE3"/>
    <w:rsid w:val="00E44085"/>
    <w:rsid w:val="00E443B5"/>
    <w:rsid w:val="00E445F8"/>
    <w:rsid w:val="00E450C6"/>
    <w:rsid w:val="00E452D9"/>
    <w:rsid w:val="00E45451"/>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87B"/>
    <w:rsid w:val="00E72AB8"/>
    <w:rsid w:val="00E72BC8"/>
    <w:rsid w:val="00E72F66"/>
    <w:rsid w:val="00E72FB1"/>
    <w:rsid w:val="00E7309D"/>
    <w:rsid w:val="00E73277"/>
    <w:rsid w:val="00E73638"/>
    <w:rsid w:val="00E73780"/>
    <w:rsid w:val="00E738DF"/>
    <w:rsid w:val="00E73F1C"/>
    <w:rsid w:val="00E743C4"/>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BE0"/>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A8F"/>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4A2"/>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4C6B"/>
    <w:rsid w:val="00EB5062"/>
    <w:rsid w:val="00EB5C01"/>
    <w:rsid w:val="00EB5D32"/>
    <w:rsid w:val="00EB637C"/>
    <w:rsid w:val="00EB67B7"/>
    <w:rsid w:val="00EB6A01"/>
    <w:rsid w:val="00EB7C48"/>
    <w:rsid w:val="00EC0378"/>
    <w:rsid w:val="00EC04BC"/>
    <w:rsid w:val="00EC13AD"/>
    <w:rsid w:val="00EC1965"/>
    <w:rsid w:val="00EC2E5F"/>
    <w:rsid w:val="00EC34E0"/>
    <w:rsid w:val="00EC39F1"/>
    <w:rsid w:val="00EC3C59"/>
    <w:rsid w:val="00EC3D9E"/>
    <w:rsid w:val="00EC45BC"/>
    <w:rsid w:val="00EC49C9"/>
    <w:rsid w:val="00EC4D89"/>
    <w:rsid w:val="00EC6141"/>
    <w:rsid w:val="00EC61DB"/>
    <w:rsid w:val="00EC6E23"/>
    <w:rsid w:val="00EC6FA0"/>
    <w:rsid w:val="00EC7DC4"/>
    <w:rsid w:val="00ED002E"/>
    <w:rsid w:val="00ED0268"/>
    <w:rsid w:val="00ED0513"/>
    <w:rsid w:val="00ED08C3"/>
    <w:rsid w:val="00ED096B"/>
    <w:rsid w:val="00ED0B7A"/>
    <w:rsid w:val="00ED0CDE"/>
    <w:rsid w:val="00ED26B0"/>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023"/>
    <w:rsid w:val="00EE33FD"/>
    <w:rsid w:val="00EE36FC"/>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1EF5"/>
    <w:rsid w:val="00F122FD"/>
    <w:rsid w:val="00F128F5"/>
    <w:rsid w:val="00F12970"/>
    <w:rsid w:val="00F12C0C"/>
    <w:rsid w:val="00F12DCD"/>
    <w:rsid w:val="00F136C1"/>
    <w:rsid w:val="00F142CD"/>
    <w:rsid w:val="00F14308"/>
    <w:rsid w:val="00F14BB8"/>
    <w:rsid w:val="00F1532B"/>
    <w:rsid w:val="00F157EB"/>
    <w:rsid w:val="00F16F45"/>
    <w:rsid w:val="00F201E2"/>
    <w:rsid w:val="00F205E8"/>
    <w:rsid w:val="00F20B67"/>
    <w:rsid w:val="00F21368"/>
    <w:rsid w:val="00F2157A"/>
    <w:rsid w:val="00F21FBF"/>
    <w:rsid w:val="00F223B2"/>
    <w:rsid w:val="00F22897"/>
    <w:rsid w:val="00F2294E"/>
    <w:rsid w:val="00F23544"/>
    <w:rsid w:val="00F23AD8"/>
    <w:rsid w:val="00F24853"/>
    <w:rsid w:val="00F24EEC"/>
    <w:rsid w:val="00F24EED"/>
    <w:rsid w:val="00F25391"/>
    <w:rsid w:val="00F25E69"/>
    <w:rsid w:val="00F26689"/>
    <w:rsid w:val="00F2669A"/>
    <w:rsid w:val="00F2779F"/>
    <w:rsid w:val="00F27D98"/>
    <w:rsid w:val="00F27E74"/>
    <w:rsid w:val="00F301CB"/>
    <w:rsid w:val="00F304D0"/>
    <w:rsid w:val="00F306AC"/>
    <w:rsid w:val="00F30CF6"/>
    <w:rsid w:val="00F30D0A"/>
    <w:rsid w:val="00F30FAD"/>
    <w:rsid w:val="00F3126E"/>
    <w:rsid w:val="00F31CB4"/>
    <w:rsid w:val="00F324DA"/>
    <w:rsid w:val="00F3272D"/>
    <w:rsid w:val="00F32FC6"/>
    <w:rsid w:val="00F344DE"/>
    <w:rsid w:val="00F3538B"/>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06D"/>
    <w:rsid w:val="00F47130"/>
    <w:rsid w:val="00F473CF"/>
    <w:rsid w:val="00F47B7B"/>
    <w:rsid w:val="00F502F0"/>
    <w:rsid w:val="00F50995"/>
    <w:rsid w:val="00F516F5"/>
    <w:rsid w:val="00F52E3D"/>
    <w:rsid w:val="00F52FDB"/>
    <w:rsid w:val="00F53423"/>
    <w:rsid w:val="00F537CF"/>
    <w:rsid w:val="00F5382D"/>
    <w:rsid w:val="00F53940"/>
    <w:rsid w:val="00F53D78"/>
    <w:rsid w:val="00F540B1"/>
    <w:rsid w:val="00F54ED5"/>
    <w:rsid w:val="00F557AC"/>
    <w:rsid w:val="00F56968"/>
    <w:rsid w:val="00F569E1"/>
    <w:rsid w:val="00F56B89"/>
    <w:rsid w:val="00F57342"/>
    <w:rsid w:val="00F579F4"/>
    <w:rsid w:val="00F57B61"/>
    <w:rsid w:val="00F57EB5"/>
    <w:rsid w:val="00F60527"/>
    <w:rsid w:val="00F606F4"/>
    <w:rsid w:val="00F60963"/>
    <w:rsid w:val="00F61B40"/>
    <w:rsid w:val="00F6243E"/>
    <w:rsid w:val="00F63242"/>
    <w:rsid w:val="00F634AB"/>
    <w:rsid w:val="00F63DA7"/>
    <w:rsid w:val="00F640CF"/>
    <w:rsid w:val="00F649A7"/>
    <w:rsid w:val="00F64A7D"/>
    <w:rsid w:val="00F65C70"/>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D54"/>
    <w:rsid w:val="00F72E4D"/>
    <w:rsid w:val="00F73536"/>
    <w:rsid w:val="00F73A6A"/>
    <w:rsid w:val="00F74278"/>
    <w:rsid w:val="00F75CBA"/>
    <w:rsid w:val="00F75E7B"/>
    <w:rsid w:val="00F76F58"/>
    <w:rsid w:val="00F7763C"/>
    <w:rsid w:val="00F77941"/>
    <w:rsid w:val="00F80728"/>
    <w:rsid w:val="00F81042"/>
    <w:rsid w:val="00F817B0"/>
    <w:rsid w:val="00F82327"/>
    <w:rsid w:val="00F823E0"/>
    <w:rsid w:val="00F8476F"/>
    <w:rsid w:val="00F849EB"/>
    <w:rsid w:val="00F84C6F"/>
    <w:rsid w:val="00F84D01"/>
    <w:rsid w:val="00F84EB0"/>
    <w:rsid w:val="00F84ECB"/>
    <w:rsid w:val="00F851D9"/>
    <w:rsid w:val="00F856E5"/>
    <w:rsid w:val="00F85B95"/>
    <w:rsid w:val="00F863BA"/>
    <w:rsid w:val="00F86EB0"/>
    <w:rsid w:val="00F871A7"/>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22A"/>
    <w:rsid w:val="00FB0474"/>
    <w:rsid w:val="00FB0E88"/>
    <w:rsid w:val="00FB1D2E"/>
    <w:rsid w:val="00FB2C23"/>
    <w:rsid w:val="00FB2DAB"/>
    <w:rsid w:val="00FB30AE"/>
    <w:rsid w:val="00FB46A8"/>
    <w:rsid w:val="00FB6A23"/>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70"/>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40"/>
    <w:rsid w:val="00FE3F92"/>
    <w:rsid w:val="00FE4785"/>
    <w:rsid w:val="00FE4A9C"/>
    <w:rsid w:val="00FE4AE1"/>
    <w:rsid w:val="00FE5CC9"/>
    <w:rsid w:val="00FE5D6A"/>
    <w:rsid w:val="00FE616C"/>
    <w:rsid w:val="00FE652E"/>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E78F"/>
  <w15:docId w15:val="{ED05D9D0-439F-4613-9DC3-0B29E97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1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oleObject" Target="embeddings/oleObject32.bin"/><Relationship Id="rId16" Type="http://schemas.openxmlformats.org/officeDocument/2006/relationships/image" Target="media/image7.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oleObject" Target="embeddings/oleObject31.bin"/><Relationship Id="rId74" Type="http://schemas.openxmlformats.org/officeDocument/2006/relationships/image" Target="media/image37.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png"/><Relationship Id="rId69" Type="http://schemas.openxmlformats.org/officeDocument/2006/relationships/image" Target="media/image34.png"/><Relationship Id="rId77"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6.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5.wmf"/><Relationship Id="rId75" Type="http://schemas.openxmlformats.org/officeDocument/2006/relationships/oleObject" Target="embeddings/oleObject35.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image" Target="media/image32.wmf"/><Relationship Id="rId73" Type="http://schemas.openxmlformats.org/officeDocument/2006/relationships/oleObject" Target="embeddings/oleObject34.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fontTable" Target="fontTable.xml"/><Relationship Id="rId7" Type="http://schemas.openxmlformats.org/officeDocument/2006/relationships/oleObject" Target="embeddings/oleObject2.bin"/><Relationship Id="rId71" Type="http://schemas.openxmlformats.org/officeDocument/2006/relationships/oleObject" Target="embeddings/oleObject33.bin"/><Relationship Id="rId2" Type="http://schemas.openxmlformats.org/officeDocument/2006/relationships/settings" Target="settings.xml"/><Relationship Id="rId29"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4673</TotalTime>
  <Pages>7</Pages>
  <Words>820</Words>
  <Characters>4676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283</cp:revision>
  <dcterms:created xsi:type="dcterms:W3CDTF">2014-05-11T05:19:00Z</dcterms:created>
  <dcterms:modified xsi:type="dcterms:W3CDTF">2024-07-27T18:19:00Z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